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小汤山医院</w:t>
      </w:r>
      <w:r>
        <w:rPr>
          <w:rFonts w:hint="eastAsia"/>
          <w:sz w:val="32"/>
          <w:szCs w:val="32"/>
          <w:lang w:val="en-US" w:eastAsia="zh-CN"/>
        </w:rPr>
        <w:t>E</w:t>
      </w:r>
      <w:r>
        <w:rPr>
          <w:rFonts w:hint="eastAsia"/>
          <w:sz w:val="32"/>
          <w:szCs w:val="32"/>
        </w:rPr>
        <w:t>区</w:t>
      </w:r>
      <w:r>
        <w:rPr>
          <w:rFonts w:hint="eastAsia"/>
          <w:sz w:val="32"/>
          <w:szCs w:val="32"/>
          <w:lang w:val="en-US" w:eastAsia="zh-CN"/>
        </w:rPr>
        <w:t>EPS</w:t>
      </w:r>
      <w:r>
        <w:rPr>
          <w:rFonts w:hint="eastAsia"/>
          <w:sz w:val="32"/>
          <w:szCs w:val="32"/>
        </w:rPr>
        <w:t>电源</w:t>
      </w:r>
      <w:r>
        <w:rPr>
          <w:rFonts w:hint="eastAsia"/>
          <w:sz w:val="32"/>
          <w:szCs w:val="32"/>
          <w:lang w:val="en-US" w:eastAsia="zh-CN"/>
        </w:rPr>
        <w:t>维修</w:t>
      </w:r>
      <w:r>
        <w:rPr>
          <w:rFonts w:hint="eastAsia"/>
          <w:sz w:val="32"/>
          <w:szCs w:val="32"/>
        </w:rPr>
        <w:t>技术参数要求</w:t>
      </w:r>
    </w:p>
    <w:p>
      <w:pPr>
        <w:rPr>
          <w:rFonts w:hint="eastAsia"/>
        </w:rPr>
      </w:pPr>
    </w:p>
    <w:p>
      <w:pPr>
        <w:pStyle w:val="7"/>
        <w:outlineLvl w:val="2"/>
        <w:rPr>
          <w:rFonts w:hint="eastAsia"/>
        </w:rPr>
      </w:pPr>
      <w:r>
        <w:rPr>
          <w:rFonts w:hint="eastAsia"/>
          <w:szCs w:val="24"/>
        </w:rPr>
        <w:t xml:space="preserve">1 </w:t>
      </w:r>
      <w:r>
        <w:rPr>
          <w:rFonts w:hint="eastAsia"/>
          <w:szCs w:val="24"/>
          <w:lang w:eastAsia="zh-CN"/>
        </w:rPr>
        <w:t>遴选</w:t>
      </w:r>
      <w:r>
        <w:rPr>
          <w:rFonts w:hint="eastAsia"/>
        </w:rPr>
        <w:t>范围及</w:t>
      </w:r>
      <w:r>
        <w:rPr>
          <w:rStyle w:val="8"/>
          <w:rFonts w:hint="eastAsia" w:ascii="Times New Roman" w:hAnsi="Times New Roman" w:eastAsia="宋体" w:cs="Times New Roman"/>
          <w:bCs w:val="0"/>
          <w:sz w:val="24"/>
          <w:szCs w:val="28"/>
        </w:rPr>
        <w:t>要求</w:t>
      </w:r>
    </w:p>
    <w:p>
      <w:pPr>
        <w:snapToGrid/>
        <w:spacing w:line="360" w:lineRule="auto"/>
        <w:ind w:firstLine="480" w:firstLineChars="200"/>
        <w:jc w:val="both"/>
        <w:rPr>
          <w:rFonts w:hint="eastAsia" w:ascii="宋体" w:hAnsi="宋体" w:cs="宋体"/>
          <w:sz w:val="24"/>
          <w:szCs w:val="24"/>
        </w:rPr>
      </w:pPr>
      <w:r>
        <w:rPr>
          <w:rFonts w:hint="eastAsia" w:ascii="宋体" w:hAnsi="宋体" w:cs="宋体"/>
          <w:sz w:val="24"/>
          <w:szCs w:val="24"/>
        </w:rPr>
        <w:t>本次</w:t>
      </w:r>
      <w:r>
        <w:rPr>
          <w:rFonts w:hint="eastAsia" w:ascii="宋体" w:hAnsi="宋体" w:cs="宋体"/>
          <w:sz w:val="24"/>
          <w:szCs w:val="24"/>
          <w:lang w:eastAsia="zh-CN"/>
        </w:rPr>
        <w:t>遴选</w:t>
      </w:r>
      <w:r>
        <w:rPr>
          <w:rFonts w:hint="eastAsia" w:ascii="宋体" w:hAnsi="宋体" w:cs="宋体"/>
          <w:sz w:val="24"/>
          <w:szCs w:val="24"/>
        </w:rPr>
        <w:t>范围为小汤山医院</w:t>
      </w:r>
      <w:r>
        <w:rPr>
          <w:rFonts w:hint="eastAsia" w:ascii="宋体" w:hAnsi="宋体" w:cs="宋体"/>
          <w:sz w:val="24"/>
          <w:szCs w:val="24"/>
          <w:lang w:val="en-US" w:eastAsia="zh-CN"/>
        </w:rPr>
        <w:t>E</w:t>
      </w:r>
      <w:r>
        <w:rPr>
          <w:rFonts w:hint="eastAsia" w:ascii="宋体" w:hAnsi="宋体" w:cs="宋体"/>
          <w:sz w:val="24"/>
          <w:szCs w:val="24"/>
        </w:rPr>
        <w:t>区</w:t>
      </w:r>
      <w:r>
        <w:rPr>
          <w:rFonts w:hint="eastAsia" w:ascii="宋体" w:hAnsi="宋体" w:cs="宋体"/>
          <w:sz w:val="24"/>
          <w:szCs w:val="24"/>
          <w:lang w:val="en-US" w:eastAsia="zh-CN"/>
        </w:rPr>
        <w:t>EPS</w:t>
      </w:r>
      <w:r>
        <w:rPr>
          <w:rFonts w:hint="eastAsia" w:ascii="宋体" w:hAnsi="宋体" w:cs="宋体"/>
          <w:sz w:val="24"/>
          <w:szCs w:val="24"/>
        </w:rPr>
        <w:t>电源</w:t>
      </w:r>
      <w:r>
        <w:rPr>
          <w:rFonts w:hint="eastAsia" w:ascii="宋体" w:hAnsi="宋体" w:cs="宋体"/>
          <w:sz w:val="24"/>
          <w:szCs w:val="24"/>
          <w:lang w:val="en-US" w:eastAsia="zh-CN"/>
        </w:rPr>
        <w:t>的维修,包括并不限于EPS</w:t>
      </w:r>
      <w:r>
        <w:rPr>
          <w:rFonts w:hint="eastAsia" w:ascii="宋体" w:hAnsi="宋体" w:cs="宋体"/>
          <w:sz w:val="24"/>
          <w:szCs w:val="24"/>
        </w:rPr>
        <w:t>电源</w:t>
      </w:r>
      <w:r>
        <w:rPr>
          <w:rFonts w:hint="eastAsia" w:ascii="宋体" w:hAnsi="宋体" w:cs="宋体"/>
          <w:sz w:val="24"/>
          <w:szCs w:val="24"/>
          <w:lang w:val="en-US" w:eastAsia="zh-CN"/>
        </w:rPr>
        <w:t>的施工安装及调试</w:t>
      </w:r>
      <w:r>
        <w:rPr>
          <w:rFonts w:hint="eastAsia" w:ascii="宋体" w:hAnsi="宋体" w:cs="宋体"/>
          <w:sz w:val="24"/>
          <w:szCs w:val="24"/>
        </w:rPr>
        <w:t>。</w:t>
      </w:r>
    </w:p>
    <w:p>
      <w:pPr>
        <w:tabs>
          <w:tab w:val="left" w:pos="0"/>
        </w:tabs>
        <w:spacing w:line="360" w:lineRule="auto"/>
        <w:ind w:firstLine="480" w:firstLineChars="200"/>
        <w:jc w:val="both"/>
        <w:rPr>
          <w:rFonts w:hint="eastAsia"/>
          <w:sz w:val="24"/>
          <w:szCs w:val="24"/>
          <w:highlight w:val="none"/>
        </w:rPr>
      </w:pPr>
      <w:r>
        <w:rPr>
          <w:rFonts w:hint="eastAsia"/>
          <w:sz w:val="24"/>
          <w:szCs w:val="24"/>
          <w:lang w:eastAsia="zh-CN"/>
        </w:rPr>
        <w:t>响应</w:t>
      </w:r>
      <w:r>
        <w:rPr>
          <w:rFonts w:hint="eastAsia"/>
          <w:sz w:val="24"/>
          <w:szCs w:val="24"/>
        </w:rPr>
        <w:t>人提供的</w:t>
      </w:r>
      <w:r>
        <w:rPr>
          <w:rFonts w:hint="eastAsia" w:ascii="宋体" w:hAnsi="宋体" w:cs="宋体"/>
          <w:sz w:val="24"/>
          <w:szCs w:val="24"/>
          <w:lang w:val="en-US" w:eastAsia="zh-CN"/>
        </w:rPr>
        <w:t>EPS</w:t>
      </w:r>
      <w:r>
        <w:rPr>
          <w:rFonts w:hint="eastAsia" w:ascii="宋体" w:hAnsi="宋体" w:cs="宋体"/>
          <w:sz w:val="24"/>
          <w:szCs w:val="24"/>
        </w:rPr>
        <w:t>电源</w:t>
      </w:r>
      <w:r>
        <w:rPr>
          <w:rFonts w:hint="eastAsia" w:ascii="宋体" w:hAnsi="宋体" w:cs="宋体"/>
          <w:sz w:val="24"/>
          <w:szCs w:val="24"/>
          <w:lang w:val="en-US" w:eastAsia="zh-CN"/>
        </w:rPr>
        <w:t>配件</w:t>
      </w:r>
      <w:r>
        <w:rPr>
          <w:rFonts w:hint="eastAsia"/>
          <w:sz w:val="24"/>
          <w:szCs w:val="24"/>
        </w:rPr>
        <w:t>应是成熟的、可靠的、技术先进的产品，</w:t>
      </w:r>
      <w:r>
        <w:rPr>
          <w:rFonts w:hint="eastAsia"/>
          <w:sz w:val="24"/>
          <w:szCs w:val="24"/>
          <w:highlight w:val="none"/>
        </w:rPr>
        <w:t>采用国内外知名品牌。为保证技术接口统一、便于系统调试、后期维护管理，要求</w:t>
      </w:r>
      <w:r>
        <w:rPr>
          <w:rFonts w:hint="eastAsia"/>
          <w:sz w:val="24"/>
          <w:szCs w:val="24"/>
          <w:highlight w:val="none"/>
          <w:lang w:val="en-US" w:eastAsia="zh-CN"/>
        </w:rPr>
        <w:t>所选用必须与现有输入输出回路、电压、功率、功能、尺寸一致。并满足现场增容的需要，维修后的EPS电源箱应能接收消防联动信号并使相应的应急照明疏散灯具转入应急状态；必须根据现场工作需要进行文明施工，不得影响相应区域人员的正常工作。</w:t>
      </w:r>
      <w:r>
        <w:rPr>
          <w:rFonts w:hint="eastAsia"/>
          <w:sz w:val="24"/>
          <w:szCs w:val="24"/>
          <w:highlight w:val="none"/>
        </w:rPr>
        <w:t>投标人应无条件响应招标人的要求。</w:t>
      </w:r>
    </w:p>
    <w:p>
      <w:pPr>
        <w:pStyle w:val="2"/>
        <w:rPr>
          <w:rFonts w:hint="eastAsia" w:eastAsiaTheme="minorEastAsia"/>
          <w:lang w:eastAsia="zh-CN"/>
        </w:rPr>
      </w:pPr>
      <w:r>
        <w:rPr>
          <w:rFonts w:hint="eastAsia"/>
          <w:sz w:val="24"/>
          <w:szCs w:val="24"/>
          <w:highlight w:val="none"/>
          <w:lang w:eastAsia="zh-CN"/>
        </w:rPr>
        <w:t>维修后质保期：至少</w:t>
      </w:r>
      <w:bookmarkStart w:id="0" w:name="_GoBack"/>
      <w:bookmarkEnd w:id="0"/>
      <w:r>
        <w:rPr>
          <w:rFonts w:hint="eastAsia"/>
          <w:sz w:val="24"/>
          <w:szCs w:val="24"/>
          <w:highlight w:val="none"/>
          <w:lang w:eastAsia="zh-CN"/>
        </w:rPr>
        <w:t>半年</w:t>
      </w:r>
    </w:p>
    <w:p>
      <w:pPr>
        <w:pStyle w:val="2"/>
        <w:ind w:firstLine="0" w:firstLineChars="0"/>
        <w:rPr>
          <w:rFonts w:hint="eastAsia"/>
          <w:b/>
          <w:bCs/>
          <w:sz w:val="24"/>
          <w:szCs w:val="28"/>
          <w:highlight w:val="none"/>
        </w:rPr>
      </w:pPr>
      <w:r>
        <w:rPr>
          <w:rFonts w:hint="eastAsia"/>
          <w:b/>
          <w:bCs/>
          <w:sz w:val="24"/>
          <w:szCs w:val="28"/>
          <w:highlight w:val="none"/>
        </w:rPr>
        <w:t>2 技术要求及规格</w:t>
      </w:r>
    </w:p>
    <w:p>
      <w:pPr>
        <w:pStyle w:val="2"/>
        <w:ind w:firstLine="0" w:firstLineChars="0"/>
        <w:rPr>
          <w:rFonts w:hint="eastAsia"/>
          <w:b/>
          <w:bCs/>
          <w:sz w:val="24"/>
        </w:rPr>
      </w:pPr>
      <w:r>
        <w:rPr>
          <w:rFonts w:hint="eastAsia"/>
          <w:b/>
          <w:bCs/>
          <w:sz w:val="24"/>
          <w:szCs w:val="24"/>
        </w:rPr>
        <w:t xml:space="preserve">2.1 </w:t>
      </w:r>
      <w:r>
        <w:rPr>
          <w:rFonts w:hint="eastAsia"/>
          <w:b/>
          <w:bCs/>
          <w:sz w:val="24"/>
        </w:rPr>
        <w:t>使用环境条件</w:t>
      </w:r>
    </w:p>
    <w:tbl>
      <w:tblPr>
        <w:tblStyle w:val="4"/>
        <w:tblW w:w="850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9"/>
        <w:gridCol w:w="1798"/>
        <w:gridCol w:w="589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9" w:hRule="atLeast"/>
          <w:jc w:val="center"/>
        </w:trPr>
        <w:tc>
          <w:tcPr>
            <w:tcW w:w="809" w:type="dxa"/>
            <w:noWrap w:val="0"/>
            <w:vAlign w:val="center"/>
          </w:tcPr>
          <w:p>
            <w:pPr>
              <w:jc w:val="center"/>
              <w:rPr>
                <w:szCs w:val="21"/>
              </w:rPr>
            </w:pPr>
            <w:r>
              <w:rPr>
                <w:szCs w:val="21"/>
              </w:rPr>
              <w:t>序号</w:t>
            </w:r>
          </w:p>
        </w:tc>
        <w:tc>
          <w:tcPr>
            <w:tcW w:w="1798" w:type="dxa"/>
            <w:noWrap w:val="0"/>
            <w:vAlign w:val="center"/>
          </w:tcPr>
          <w:p>
            <w:pPr>
              <w:jc w:val="center"/>
              <w:rPr>
                <w:szCs w:val="21"/>
              </w:rPr>
            </w:pPr>
            <w:r>
              <w:rPr>
                <w:szCs w:val="21"/>
              </w:rPr>
              <w:t>项  目</w:t>
            </w:r>
          </w:p>
        </w:tc>
        <w:tc>
          <w:tcPr>
            <w:tcW w:w="5898" w:type="dxa"/>
            <w:noWrap w:val="0"/>
            <w:vAlign w:val="center"/>
          </w:tcPr>
          <w:p>
            <w:pPr>
              <w:ind w:firstLine="420"/>
              <w:jc w:val="center"/>
              <w:rPr>
                <w:szCs w:val="21"/>
              </w:rPr>
            </w:pPr>
            <w:r>
              <w:rPr>
                <w:szCs w:val="21"/>
              </w:rPr>
              <w:t>内       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0" w:hRule="atLeast"/>
          <w:jc w:val="center"/>
        </w:trPr>
        <w:tc>
          <w:tcPr>
            <w:tcW w:w="809" w:type="dxa"/>
            <w:vMerge w:val="restart"/>
            <w:noWrap w:val="0"/>
            <w:vAlign w:val="center"/>
          </w:tcPr>
          <w:p>
            <w:pPr>
              <w:ind w:firstLine="174" w:firstLineChars="83"/>
              <w:rPr>
                <w:szCs w:val="21"/>
              </w:rPr>
            </w:pPr>
            <w:r>
              <w:rPr>
                <w:szCs w:val="21"/>
              </w:rPr>
              <w:t>1</w:t>
            </w:r>
          </w:p>
        </w:tc>
        <w:tc>
          <w:tcPr>
            <w:tcW w:w="1798" w:type="dxa"/>
            <w:shd w:val="clear" w:color="auto" w:fill="auto"/>
            <w:noWrap w:val="0"/>
            <w:vAlign w:val="center"/>
          </w:tcPr>
          <w:p>
            <w:pPr>
              <w:jc w:val="center"/>
              <w:rPr>
                <w:rFonts w:hint="eastAsia" w:asciiTheme="minorHAnsi" w:hAnsiTheme="minorHAnsi" w:eastAsiaTheme="minorEastAsia" w:cstheme="minorBidi"/>
                <w:kern w:val="2"/>
                <w:sz w:val="21"/>
                <w:szCs w:val="21"/>
                <w:lang w:val="en-US" w:eastAsia="zh-CN" w:bidi="ar-SA"/>
              </w:rPr>
            </w:pPr>
            <w:r>
              <w:rPr>
                <w:szCs w:val="21"/>
              </w:rPr>
              <w:t>工作环境温度</w:t>
            </w:r>
          </w:p>
        </w:tc>
        <w:tc>
          <w:tcPr>
            <w:tcW w:w="5898" w:type="dxa"/>
            <w:shd w:val="clear" w:color="auto" w:fill="auto"/>
            <w:noWrap w:val="0"/>
            <w:vAlign w:val="center"/>
          </w:tcPr>
          <w:p>
            <w:pPr>
              <w:ind w:firstLine="420" w:firstLineChars="0"/>
              <w:jc w:val="center"/>
              <w:rPr>
                <w:rFonts w:hint="eastAsia" w:asciiTheme="minorHAnsi" w:hAnsiTheme="minorHAnsi" w:eastAsiaTheme="minorEastAsia" w:cstheme="minorBidi"/>
                <w:kern w:val="2"/>
                <w:sz w:val="21"/>
                <w:szCs w:val="21"/>
                <w:lang w:val="en-US" w:eastAsia="zh-CN" w:bidi="ar-SA"/>
              </w:rPr>
            </w:pPr>
            <w:r>
              <w:rPr>
                <w:szCs w:val="21"/>
              </w:rPr>
              <w:t>-</w:t>
            </w:r>
            <w:r>
              <w:rPr>
                <w:rFonts w:hint="eastAsia"/>
                <w:szCs w:val="21"/>
              </w:rPr>
              <w:t>1</w:t>
            </w:r>
            <w:r>
              <w:rPr>
                <w:szCs w:val="21"/>
              </w:rPr>
              <w:t>5</w:t>
            </w:r>
            <w:r>
              <w:rPr>
                <w:rFonts w:hint="eastAsia" w:cs="宋体"/>
                <w:szCs w:val="21"/>
              </w:rPr>
              <w:t>℃</w:t>
            </w:r>
            <w:r>
              <w:rPr>
                <w:szCs w:val="21"/>
              </w:rPr>
              <w:t>～</w:t>
            </w:r>
            <w:r>
              <w:rPr>
                <w:szCs w:val="21"/>
              </w:rPr>
              <w:sym w:font="Symbol" w:char="002B"/>
            </w:r>
            <w:r>
              <w:rPr>
                <w:rFonts w:hint="eastAsia"/>
                <w:szCs w:val="21"/>
              </w:rPr>
              <w:t>45</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0" w:hRule="atLeast"/>
          <w:jc w:val="center"/>
        </w:trPr>
        <w:tc>
          <w:tcPr>
            <w:tcW w:w="809" w:type="dxa"/>
            <w:vMerge w:val="continue"/>
            <w:noWrap w:val="0"/>
            <w:vAlign w:val="center"/>
          </w:tcPr>
          <w:p>
            <w:pPr>
              <w:ind w:firstLine="420"/>
              <w:rPr>
                <w:szCs w:val="21"/>
              </w:rPr>
            </w:pPr>
          </w:p>
        </w:tc>
        <w:tc>
          <w:tcPr>
            <w:tcW w:w="1798" w:type="dxa"/>
            <w:noWrap w:val="0"/>
            <w:vAlign w:val="center"/>
          </w:tcPr>
          <w:p>
            <w:pPr>
              <w:jc w:val="center"/>
              <w:rPr>
                <w:szCs w:val="21"/>
              </w:rPr>
            </w:pPr>
            <w:r>
              <w:rPr>
                <w:szCs w:val="21"/>
              </w:rPr>
              <w:t>存储环境温度</w:t>
            </w:r>
          </w:p>
        </w:tc>
        <w:tc>
          <w:tcPr>
            <w:tcW w:w="5898" w:type="dxa"/>
            <w:noWrap w:val="0"/>
            <w:vAlign w:val="center"/>
          </w:tcPr>
          <w:p>
            <w:pPr>
              <w:ind w:firstLine="420"/>
              <w:jc w:val="center"/>
              <w:rPr>
                <w:szCs w:val="21"/>
              </w:rPr>
            </w:pPr>
            <w:r>
              <w:rPr>
                <w:szCs w:val="21"/>
              </w:rPr>
              <w:t>-</w:t>
            </w:r>
            <w:r>
              <w:rPr>
                <w:rFonts w:hint="eastAsia"/>
                <w:szCs w:val="21"/>
              </w:rPr>
              <w:t>25</w:t>
            </w:r>
            <w:r>
              <w:rPr>
                <w:rFonts w:hint="eastAsia" w:cs="宋体"/>
                <w:szCs w:val="21"/>
              </w:rPr>
              <w:t>℃</w:t>
            </w:r>
            <w:r>
              <w:rPr>
                <w:szCs w:val="21"/>
              </w:rPr>
              <w:t>～</w:t>
            </w:r>
            <w:r>
              <w:rPr>
                <w:szCs w:val="21"/>
              </w:rPr>
              <w:sym w:font="Symbol" w:char="002B"/>
            </w:r>
            <w:r>
              <w:rPr>
                <w:rFonts w:hint="eastAsia"/>
                <w:szCs w:val="21"/>
              </w:rPr>
              <w:t>60</w:t>
            </w: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04" w:hRule="atLeast"/>
          <w:jc w:val="center"/>
        </w:trPr>
        <w:tc>
          <w:tcPr>
            <w:tcW w:w="809" w:type="dxa"/>
            <w:noWrap w:val="0"/>
            <w:vAlign w:val="center"/>
          </w:tcPr>
          <w:p>
            <w:pPr>
              <w:ind w:firstLine="174" w:firstLineChars="83"/>
              <w:rPr>
                <w:szCs w:val="21"/>
              </w:rPr>
            </w:pPr>
            <w:r>
              <w:rPr>
                <w:szCs w:val="21"/>
              </w:rPr>
              <w:t>2</w:t>
            </w:r>
          </w:p>
        </w:tc>
        <w:tc>
          <w:tcPr>
            <w:tcW w:w="1798" w:type="dxa"/>
            <w:noWrap w:val="0"/>
            <w:vAlign w:val="center"/>
          </w:tcPr>
          <w:p>
            <w:pPr>
              <w:ind w:firstLine="174" w:firstLineChars="83"/>
              <w:rPr>
                <w:szCs w:val="21"/>
              </w:rPr>
            </w:pPr>
            <w:r>
              <w:rPr>
                <w:szCs w:val="21"/>
              </w:rPr>
              <w:t>相对湿度</w:t>
            </w:r>
          </w:p>
        </w:tc>
        <w:tc>
          <w:tcPr>
            <w:tcW w:w="5898" w:type="dxa"/>
            <w:noWrap w:val="0"/>
            <w:vAlign w:val="center"/>
          </w:tcPr>
          <w:p>
            <w:pPr>
              <w:ind w:firstLine="420"/>
              <w:jc w:val="center"/>
              <w:rPr>
                <w:szCs w:val="21"/>
              </w:rPr>
            </w:pPr>
            <w:r>
              <w:rPr>
                <w:szCs w:val="21"/>
              </w:rPr>
              <w:t>日平均值不大于95%</w:t>
            </w:r>
          </w:p>
          <w:p>
            <w:pPr>
              <w:ind w:firstLine="420"/>
              <w:jc w:val="center"/>
              <w:rPr>
                <w:szCs w:val="21"/>
              </w:rPr>
            </w:pPr>
            <w:r>
              <w:rPr>
                <w:szCs w:val="21"/>
              </w:rPr>
              <w:t>月平均值不大于90%（25</w:t>
            </w:r>
            <w:r>
              <w:rPr>
                <w:rFonts w:hint="eastAsia" w:cs="宋体"/>
                <w:szCs w:val="21"/>
              </w:rPr>
              <w:t>℃</w:t>
            </w:r>
            <w:r>
              <w:rPr>
                <w:szCs w:val="21"/>
              </w:rPr>
              <w:t>）</w:t>
            </w:r>
          </w:p>
          <w:p>
            <w:pPr>
              <w:ind w:firstLine="420"/>
              <w:jc w:val="center"/>
              <w:rPr>
                <w:szCs w:val="21"/>
              </w:rPr>
            </w:pPr>
            <w:r>
              <w:rPr>
                <w:szCs w:val="21"/>
              </w:rPr>
              <w:t>（高湿期可能产生凝露，供应商应采取措施防止凝露对设备的危害）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809" w:type="dxa"/>
            <w:noWrap w:val="0"/>
            <w:vAlign w:val="center"/>
          </w:tcPr>
          <w:p>
            <w:pPr>
              <w:ind w:firstLine="174" w:firstLineChars="83"/>
              <w:rPr>
                <w:szCs w:val="21"/>
              </w:rPr>
            </w:pPr>
            <w:r>
              <w:rPr>
                <w:szCs w:val="21"/>
              </w:rPr>
              <w:t>3</w:t>
            </w:r>
          </w:p>
        </w:tc>
        <w:tc>
          <w:tcPr>
            <w:tcW w:w="1798" w:type="dxa"/>
            <w:noWrap w:val="0"/>
            <w:vAlign w:val="center"/>
          </w:tcPr>
          <w:p>
            <w:pPr>
              <w:jc w:val="center"/>
              <w:rPr>
                <w:szCs w:val="21"/>
              </w:rPr>
            </w:pPr>
            <w:r>
              <w:rPr>
                <w:szCs w:val="21"/>
              </w:rPr>
              <w:t>饱和蒸汽压</w:t>
            </w:r>
          </w:p>
        </w:tc>
        <w:tc>
          <w:tcPr>
            <w:tcW w:w="5898" w:type="dxa"/>
            <w:noWrap w:val="0"/>
            <w:vAlign w:val="center"/>
          </w:tcPr>
          <w:p>
            <w:pPr>
              <w:ind w:firstLine="1260" w:firstLineChars="600"/>
              <w:rPr>
                <w:szCs w:val="21"/>
              </w:rPr>
            </w:pPr>
            <w:r>
              <w:rPr>
                <w:szCs w:val="21"/>
              </w:rPr>
              <w:t>日平均值不大于2.2×10</w:t>
            </w:r>
            <w:r>
              <w:rPr>
                <w:szCs w:val="21"/>
                <w:vertAlign w:val="superscript"/>
              </w:rPr>
              <w:t>-3</w:t>
            </w:r>
            <w:r>
              <w:rPr>
                <w:szCs w:val="21"/>
              </w:rPr>
              <w:t>Mpa</w:t>
            </w:r>
          </w:p>
          <w:p>
            <w:pPr>
              <w:ind w:firstLine="420"/>
              <w:jc w:val="center"/>
              <w:rPr>
                <w:szCs w:val="21"/>
              </w:rPr>
            </w:pPr>
            <w:r>
              <w:rPr>
                <w:szCs w:val="21"/>
              </w:rPr>
              <w:t>月平均值不大于1.8×10</w:t>
            </w:r>
            <w:r>
              <w:rPr>
                <w:szCs w:val="21"/>
                <w:vertAlign w:val="superscript"/>
              </w:rPr>
              <w:t>-3</w:t>
            </w:r>
            <w:r>
              <w:rPr>
                <w:szCs w:val="21"/>
              </w:rPr>
              <w:t>Mpa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809" w:type="dxa"/>
            <w:noWrap w:val="0"/>
            <w:vAlign w:val="center"/>
          </w:tcPr>
          <w:p>
            <w:pPr>
              <w:ind w:firstLine="174" w:firstLineChars="83"/>
              <w:rPr>
                <w:szCs w:val="21"/>
              </w:rPr>
            </w:pPr>
            <w:r>
              <w:rPr>
                <w:szCs w:val="21"/>
              </w:rPr>
              <w:t>4</w:t>
            </w:r>
          </w:p>
        </w:tc>
        <w:tc>
          <w:tcPr>
            <w:tcW w:w="1798" w:type="dxa"/>
            <w:noWrap w:val="0"/>
            <w:vAlign w:val="center"/>
          </w:tcPr>
          <w:p>
            <w:pPr>
              <w:ind w:firstLine="277" w:firstLineChars="132"/>
              <w:rPr>
                <w:szCs w:val="21"/>
              </w:rPr>
            </w:pPr>
            <w:r>
              <w:rPr>
                <w:szCs w:val="21"/>
              </w:rPr>
              <w:t>海拔高度</w:t>
            </w:r>
          </w:p>
        </w:tc>
        <w:tc>
          <w:tcPr>
            <w:tcW w:w="5898" w:type="dxa"/>
            <w:noWrap w:val="0"/>
            <w:vAlign w:val="center"/>
          </w:tcPr>
          <w:p>
            <w:pPr>
              <w:ind w:firstLine="420"/>
              <w:jc w:val="center"/>
              <w:rPr>
                <w:szCs w:val="21"/>
              </w:rPr>
            </w:pPr>
            <w:r>
              <w:rPr>
                <w:szCs w:val="21"/>
              </w:rPr>
              <w:t>≤1000m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809" w:type="dxa"/>
            <w:noWrap w:val="0"/>
            <w:vAlign w:val="center"/>
          </w:tcPr>
          <w:p>
            <w:pPr>
              <w:ind w:firstLine="174" w:firstLineChars="83"/>
              <w:rPr>
                <w:szCs w:val="21"/>
              </w:rPr>
            </w:pPr>
            <w:r>
              <w:rPr>
                <w:szCs w:val="21"/>
              </w:rPr>
              <w:t>5</w:t>
            </w:r>
          </w:p>
        </w:tc>
        <w:tc>
          <w:tcPr>
            <w:tcW w:w="1798" w:type="dxa"/>
            <w:noWrap w:val="0"/>
            <w:vAlign w:val="center"/>
          </w:tcPr>
          <w:p>
            <w:pPr>
              <w:ind w:firstLine="277" w:firstLineChars="132"/>
              <w:rPr>
                <w:szCs w:val="21"/>
              </w:rPr>
            </w:pPr>
            <w:r>
              <w:rPr>
                <w:szCs w:val="21"/>
              </w:rPr>
              <w:t>地震烈度</w:t>
            </w:r>
          </w:p>
        </w:tc>
        <w:tc>
          <w:tcPr>
            <w:tcW w:w="5898" w:type="dxa"/>
            <w:noWrap w:val="0"/>
            <w:vAlign w:val="center"/>
          </w:tcPr>
          <w:p>
            <w:pPr>
              <w:ind w:firstLine="420"/>
              <w:jc w:val="center"/>
              <w:rPr>
                <w:szCs w:val="21"/>
              </w:rPr>
            </w:pPr>
            <w:r>
              <w:rPr>
                <w:rFonts w:hint="eastAsia"/>
                <w:szCs w:val="21"/>
              </w:rPr>
              <w:t>7</w:t>
            </w:r>
            <w:r>
              <w:rPr>
                <w:szCs w:val="21"/>
              </w:rPr>
              <w:t>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exact"/>
          <w:jc w:val="center"/>
        </w:trPr>
        <w:tc>
          <w:tcPr>
            <w:tcW w:w="809" w:type="dxa"/>
            <w:noWrap w:val="0"/>
            <w:vAlign w:val="center"/>
          </w:tcPr>
          <w:p>
            <w:pPr>
              <w:ind w:firstLine="174" w:firstLineChars="83"/>
              <w:rPr>
                <w:szCs w:val="21"/>
              </w:rPr>
            </w:pPr>
            <w:r>
              <w:rPr>
                <w:szCs w:val="21"/>
              </w:rPr>
              <w:t>6</w:t>
            </w:r>
          </w:p>
        </w:tc>
        <w:tc>
          <w:tcPr>
            <w:tcW w:w="1798" w:type="dxa"/>
            <w:noWrap w:val="0"/>
            <w:vAlign w:val="center"/>
          </w:tcPr>
          <w:p>
            <w:pPr>
              <w:ind w:firstLine="420"/>
              <w:rPr>
                <w:szCs w:val="21"/>
              </w:rPr>
            </w:pPr>
            <w:r>
              <w:rPr>
                <w:szCs w:val="21"/>
              </w:rPr>
              <w:t>振动</w:t>
            </w:r>
          </w:p>
        </w:tc>
        <w:tc>
          <w:tcPr>
            <w:tcW w:w="5898" w:type="dxa"/>
            <w:noWrap w:val="0"/>
            <w:vAlign w:val="center"/>
          </w:tcPr>
          <w:p>
            <w:pPr>
              <w:ind w:firstLine="420"/>
              <w:jc w:val="center"/>
              <w:rPr>
                <w:szCs w:val="21"/>
              </w:rPr>
            </w:pPr>
            <w:r>
              <w:rPr>
                <w:szCs w:val="21"/>
              </w:rPr>
              <w:t>F＜10Hz时，振幅为0.3mm</w:t>
            </w:r>
          </w:p>
          <w:p>
            <w:pPr>
              <w:ind w:firstLine="420"/>
              <w:jc w:val="center"/>
              <w:rPr>
                <w:szCs w:val="21"/>
              </w:rPr>
            </w:pPr>
            <w:r>
              <w:rPr>
                <w:szCs w:val="21"/>
              </w:rPr>
              <w:t>10＜f＜150Hz时，加速度为0.1g</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00" w:hRule="exact"/>
          <w:jc w:val="center"/>
        </w:trPr>
        <w:tc>
          <w:tcPr>
            <w:tcW w:w="809" w:type="dxa"/>
            <w:noWrap w:val="0"/>
            <w:vAlign w:val="center"/>
          </w:tcPr>
          <w:p>
            <w:pPr>
              <w:ind w:firstLine="174" w:firstLineChars="83"/>
              <w:rPr>
                <w:szCs w:val="21"/>
              </w:rPr>
            </w:pPr>
            <w:r>
              <w:rPr>
                <w:szCs w:val="21"/>
              </w:rPr>
              <w:t>7</w:t>
            </w:r>
          </w:p>
        </w:tc>
        <w:tc>
          <w:tcPr>
            <w:tcW w:w="1798" w:type="dxa"/>
            <w:noWrap w:val="0"/>
            <w:vAlign w:val="center"/>
          </w:tcPr>
          <w:p>
            <w:pPr>
              <w:ind w:firstLine="420"/>
              <w:rPr>
                <w:szCs w:val="21"/>
              </w:rPr>
            </w:pPr>
            <w:r>
              <w:rPr>
                <w:szCs w:val="21"/>
              </w:rPr>
              <w:t>安装</w:t>
            </w:r>
          </w:p>
        </w:tc>
        <w:tc>
          <w:tcPr>
            <w:tcW w:w="5898" w:type="dxa"/>
            <w:noWrap w:val="0"/>
            <w:vAlign w:val="center"/>
          </w:tcPr>
          <w:p>
            <w:pPr>
              <w:ind w:firstLine="420"/>
              <w:jc w:val="center"/>
              <w:rPr>
                <w:szCs w:val="21"/>
              </w:rPr>
            </w:pPr>
            <w:r>
              <w:rPr>
                <w:szCs w:val="21"/>
              </w:rPr>
              <w:t>垂直安装与垂直面的倾斜度不超过5度</w:t>
            </w:r>
          </w:p>
        </w:tc>
      </w:tr>
    </w:tbl>
    <w:p>
      <w:pPr>
        <w:pStyle w:val="2"/>
        <w:ind w:firstLine="0" w:firstLineChars="0"/>
        <w:rPr>
          <w:rFonts w:hint="eastAsia" w:eastAsia="宋体" w:cs="Times New Roman"/>
          <w:b/>
          <w:bCs/>
          <w:sz w:val="24"/>
        </w:rPr>
      </w:pPr>
      <w:r>
        <w:rPr>
          <w:rFonts w:hint="eastAsia" w:eastAsia="宋体" w:cs="Times New Roman"/>
          <w:b/>
          <w:bCs/>
          <w:sz w:val="24"/>
        </w:rPr>
        <w:t>2.2技术要求</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lang w:val="en-US" w:eastAsia="zh-CN"/>
        </w:rPr>
        <w:t>EPS</w:t>
      </w:r>
      <w:r>
        <w:rPr>
          <w:rFonts w:hint="eastAsia" w:ascii="宋体" w:hAnsi="宋体" w:eastAsia="宋体" w:cs="宋体"/>
          <w:sz w:val="24"/>
          <w:szCs w:val="24"/>
        </w:rPr>
        <w:t>电源内置蓄电池组。</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lang w:val="en-US" w:eastAsia="zh-CN"/>
        </w:rPr>
        <w:t>EPS</w:t>
      </w:r>
      <w:r>
        <w:rPr>
          <w:rFonts w:hint="eastAsia" w:ascii="宋体" w:hAnsi="宋体" w:eastAsia="宋体" w:cs="宋体"/>
          <w:sz w:val="24"/>
          <w:szCs w:val="24"/>
        </w:rPr>
        <w:t>电源应显示主电电压、电池电压、输出电压</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具有短路、过载保护功能。</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在下述情况下应发出故障声、光信号，并指示故障的类型；故障声信号应能手动消除，当有新的故障信号时，故障声信号应再启动；故障光信号在故障排除前应保持。故障条件如下所述：</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rPr>
        <w:tab/>
      </w:r>
      <w:r>
        <w:rPr>
          <w:rFonts w:hint="eastAsia" w:ascii="宋体" w:hAnsi="宋体" w:eastAsia="宋体" w:cs="宋体"/>
          <w:sz w:val="24"/>
          <w:szCs w:val="24"/>
        </w:rPr>
        <w:t>电池之间连接线开路；</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rPr>
        <w:tab/>
      </w:r>
      <w:r>
        <w:rPr>
          <w:rFonts w:hint="eastAsia" w:ascii="宋体" w:hAnsi="宋体" w:eastAsia="宋体" w:cs="宋体"/>
          <w:sz w:val="24"/>
          <w:szCs w:val="24"/>
        </w:rPr>
        <w:t>应急输出回路开路；</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rPr>
        <w:tab/>
      </w:r>
      <w:r>
        <w:rPr>
          <w:rFonts w:hint="eastAsia" w:ascii="宋体" w:hAnsi="宋体" w:eastAsia="宋体" w:cs="宋体"/>
          <w:sz w:val="24"/>
          <w:szCs w:val="24"/>
        </w:rPr>
        <w:t>在应急状态下，电池电压低于过放保护电压值。</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各项功能应满足 GB17945-2010 标准的要求。</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技术参数</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rPr>
        <w:tab/>
      </w:r>
      <w:r>
        <w:rPr>
          <w:rFonts w:hint="eastAsia" w:ascii="宋体" w:hAnsi="宋体" w:eastAsia="宋体" w:cs="宋体"/>
          <w:sz w:val="24"/>
          <w:szCs w:val="24"/>
        </w:rPr>
        <w:t>电源输入：AC220V</w:t>
      </w:r>
      <w:r>
        <w:rPr>
          <w:rFonts w:hint="eastAsia" w:ascii="宋体" w:hAnsi="宋体" w:eastAsia="宋体" w:cs="宋体"/>
          <w:sz w:val="24"/>
          <w:szCs w:val="24"/>
          <w:lang w:val="en-US" w:eastAsia="zh-CN"/>
        </w:rPr>
        <w:t>/AC380V</w:t>
      </w:r>
      <w:r>
        <w:rPr>
          <w:rFonts w:hint="eastAsia" w:ascii="宋体" w:hAnsi="宋体" w:eastAsia="宋体" w:cs="宋体"/>
          <w:sz w:val="24"/>
          <w:szCs w:val="24"/>
        </w:rPr>
        <w:t xml:space="preserve"> 50HZ</w:t>
      </w:r>
    </w:p>
    <w:p>
      <w:pPr>
        <w:spacing w:line="360" w:lineRule="auto"/>
        <w:ind w:firstLine="480" w:firstLineChars="200"/>
        <w:jc w:val="both"/>
        <w:rPr>
          <w:rFonts w:hint="default" w:ascii="宋体" w:hAnsi="宋体" w:eastAsia="宋体" w:cs="宋体"/>
          <w:sz w:val="24"/>
          <w:szCs w:val="24"/>
          <w:lang w:val="en-US"/>
        </w:rPr>
      </w:pPr>
      <w:r>
        <w:rPr>
          <w:rFonts w:hint="eastAsia" w:ascii="宋体" w:hAnsi="宋体" w:eastAsia="宋体" w:cs="宋体"/>
          <w:sz w:val="24"/>
          <w:szCs w:val="24"/>
        </w:rPr>
        <w:t>b)</w:t>
      </w:r>
      <w:r>
        <w:rPr>
          <w:rFonts w:hint="eastAsia" w:ascii="宋体" w:hAnsi="宋体" w:eastAsia="宋体" w:cs="宋体"/>
          <w:sz w:val="24"/>
          <w:szCs w:val="24"/>
        </w:rPr>
        <w:tab/>
      </w:r>
      <w:r>
        <w:rPr>
          <w:rFonts w:hint="eastAsia" w:ascii="宋体" w:hAnsi="宋体" w:eastAsia="宋体" w:cs="宋体"/>
          <w:sz w:val="24"/>
          <w:szCs w:val="24"/>
          <w:lang w:val="en-US" w:eastAsia="zh-CN"/>
        </w:rPr>
        <w:t>电源功率及数量：1.5KW/11KW  共3台</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rPr>
        <w:tab/>
      </w:r>
      <w:r>
        <w:rPr>
          <w:rFonts w:hint="eastAsia" w:ascii="宋体" w:hAnsi="宋体" w:eastAsia="宋体" w:cs="宋体"/>
          <w:sz w:val="24"/>
          <w:szCs w:val="24"/>
        </w:rPr>
        <w:t>应急时间：大于90分钟</w:t>
      </w: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rPr>
        <w:tab/>
      </w:r>
      <w:r>
        <w:rPr>
          <w:rFonts w:hint="eastAsia" w:ascii="宋体" w:hAnsi="宋体" w:eastAsia="宋体" w:cs="宋体"/>
          <w:sz w:val="24"/>
          <w:szCs w:val="24"/>
        </w:rPr>
        <w:t>通信接口：RS485</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ind w:left="0" w:leftChars="0" w:firstLine="0" w:firstLineChars="0"/>
        <w:rPr>
          <w:rFonts w:hint="eastAsia" w:ascii="宋体" w:hAnsi="宋体" w:eastAsia="宋体" w:cs="宋体"/>
          <w:sz w:val="24"/>
          <w:szCs w:val="24"/>
        </w:rPr>
      </w:pP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保卫处</w:t>
      </w:r>
    </w:p>
    <w:p>
      <w:pPr>
        <w:pStyle w:val="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2024年12月15日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MTk5NTIxZTA1OTEwM2NiOGFiMWZmZDAxMTk0MWIifQ=="/>
  </w:docVars>
  <w:rsids>
    <w:rsidRoot w:val="00000000"/>
    <w:rsid w:val="01B677B0"/>
    <w:rsid w:val="23731785"/>
    <w:rsid w:val="415A344A"/>
    <w:rsid w:val="4C7667C6"/>
    <w:rsid w:val="760B2B22"/>
    <w:rsid w:val="7A3E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0000FF"/>
      <w:u w:val="single"/>
    </w:rPr>
  </w:style>
  <w:style w:type="paragraph" w:customStyle="1" w:styleId="7">
    <w:name w:val="标题一"/>
    <w:basedOn w:val="1"/>
    <w:qFormat/>
    <w:uiPriority w:val="0"/>
    <w:pPr>
      <w:tabs>
        <w:tab w:val="left" w:pos="0"/>
      </w:tabs>
      <w:outlineLvl w:val="0"/>
    </w:pPr>
    <w:rPr>
      <w:b/>
      <w:bCs/>
      <w:sz w:val="24"/>
      <w:szCs w:val="28"/>
    </w:rPr>
  </w:style>
  <w:style w:type="character" w:customStyle="1" w:styleId="8">
    <w:name w:val="标题 Char"/>
    <w:qFormat/>
    <w:uiPriority w:val="0"/>
    <w:rPr>
      <w:rFonts w:ascii="黑体" w:hAnsi="Arial" w:eastAsia="黑体" w:cs="Arial"/>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1483</Words>
  <Characters>1762</Characters>
  <Lines>0</Lines>
  <Paragraphs>0</Paragraphs>
  <TotalTime>22</TotalTime>
  <ScaleCrop>false</ScaleCrop>
  <LinksUpToDate>false</LinksUpToDate>
  <CharactersWithSpaces>1816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2024-05-20T02:38:00Z</dcterms:created>
  <dc:creator>wangll</dc:creator>
  <cp:lastModifiedBy>高莉</cp:lastModifiedBy>
  <dcterms:modified xsi:type="dcterms:W3CDTF">2024-12-18T05:35:42Z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1A1A76CFF1B44E25B3FAB0A9C11AABC4_12</vt:lpwstr>
  </property>
</Properties>
</file>