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b/>
          <w:bCs/>
          <w:sz w:val="44"/>
          <w:szCs w:val="44"/>
          <w:lang w:eastAsia="zh-CN"/>
        </w:rPr>
      </w:pPr>
      <w:r>
        <w:rPr>
          <w:rFonts w:hint="eastAsia"/>
          <w:b/>
          <w:bCs/>
          <w:sz w:val="44"/>
          <w:szCs w:val="44"/>
          <w:lang w:eastAsia="zh-CN"/>
        </w:rPr>
        <w:t>采购需求</w:t>
      </w:r>
    </w:p>
    <w:p>
      <w:pPr>
        <w:rPr>
          <w:rFonts w:hint="eastAsia"/>
          <w:b/>
          <w:bCs/>
          <w:sz w:val="32"/>
          <w:szCs w:val="32"/>
          <w:lang w:eastAsia="zh-CN"/>
        </w:rPr>
      </w:pPr>
      <w:r>
        <w:rPr>
          <w:rFonts w:hint="eastAsia"/>
          <w:b/>
          <w:bCs/>
          <w:sz w:val="32"/>
          <w:szCs w:val="32"/>
          <w:lang w:eastAsia="zh-CN"/>
        </w:rPr>
        <w:t>一、采购名称：锅炉防爆片</w:t>
      </w:r>
    </w:p>
    <w:p>
      <w:pPr>
        <w:rPr>
          <w:rFonts w:hint="eastAsia"/>
          <w:b/>
          <w:bCs/>
          <w:sz w:val="32"/>
          <w:szCs w:val="32"/>
          <w:lang w:val="en-US" w:eastAsia="zh-CN"/>
        </w:rPr>
      </w:pPr>
      <w:r>
        <w:rPr>
          <w:rFonts w:hint="eastAsia"/>
          <w:b/>
          <w:bCs/>
          <w:sz w:val="32"/>
          <w:szCs w:val="32"/>
          <w:lang w:eastAsia="zh-CN"/>
        </w:rPr>
        <w:t>二、采购参数</w:t>
      </w:r>
      <w:r>
        <w:rPr>
          <w:rFonts w:hint="eastAsia"/>
          <w:b/>
          <w:bCs/>
          <w:sz w:val="32"/>
          <w:szCs w:val="32"/>
          <w:lang w:val="en-US" w:eastAsia="zh-CN"/>
        </w:rPr>
        <w:t>：</w:t>
      </w:r>
    </w:p>
    <w:tbl>
      <w:tblPr>
        <w:tblStyle w:val="3"/>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468"/>
        <w:gridCol w:w="1302"/>
        <w:gridCol w:w="1522"/>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Pr>
          <w:p>
            <w:pPr>
              <w:jc w:val="center"/>
              <w:rPr>
                <w:rFonts w:hint="eastAsia"/>
                <w:b/>
                <w:bCs/>
                <w:vertAlign w:val="baseline"/>
                <w:lang w:val="en-US" w:eastAsia="zh-CN"/>
              </w:rPr>
            </w:pPr>
            <w:r>
              <w:rPr>
                <w:rFonts w:hint="eastAsia"/>
                <w:b/>
                <w:bCs/>
                <w:vertAlign w:val="baseline"/>
                <w:lang w:val="en-US" w:eastAsia="zh-CN"/>
              </w:rPr>
              <w:t>序号</w:t>
            </w:r>
          </w:p>
        </w:tc>
        <w:tc>
          <w:tcPr>
            <w:tcW w:w="3468" w:type="dxa"/>
          </w:tcPr>
          <w:p>
            <w:pPr>
              <w:jc w:val="center"/>
              <w:rPr>
                <w:rFonts w:hint="eastAsia"/>
                <w:b/>
                <w:bCs/>
                <w:vertAlign w:val="baseline"/>
                <w:lang w:val="en-US" w:eastAsia="zh-CN"/>
              </w:rPr>
            </w:pPr>
            <w:r>
              <w:rPr>
                <w:rFonts w:hint="eastAsia"/>
                <w:b/>
                <w:bCs/>
                <w:vertAlign w:val="baseline"/>
                <w:lang w:val="en-US" w:eastAsia="zh-CN"/>
              </w:rPr>
              <w:t>规格参数</w:t>
            </w:r>
          </w:p>
        </w:tc>
        <w:tc>
          <w:tcPr>
            <w:tcW w:w="1302" w:type="dxa"/>
          </w:tcPr>
          <w:p>
            <w:pPr>
              <w:jc w:val="center"/>
              <w:rPr>
                <w:rFonts w:hint="eastAsia"/>
                <w:b/>
                <w:bCs/>
                <w:vertAlign w:val="baseline"/>
                <w:lang w:val="en-US" w:eastAsia="zh-CN"/>
              </w:rPr>
            </w:pPr>
            <w:r>
              <w:rPr>
                <w:rFonts w:hint="eastAsia"/>
                <w:b/>
                <w:bCs/>
                <w:vertAlign w:val="baseline"/>
                <w:lang w:val="en-US" w:eastAsia="zh-CN"/>
              </w:rPr>
              <w:t>数量</w:t>
            </w:r>
          </w:p>
        </w:tc>
        <w:tc>
          <w:tcPr>
            <w:tcW w:w="1522" w:type="dxa"/>
          </w:tcPr>
          <w:p>
            <w:pPr>
              <w:jc w:val="center"/>
              <w:rPr>
                <w:rFonts w:hint="eastAsia"/>
                <w:b/>
                <w:bCs/>
                <w:vertAlign w:val="baseline"/>
                <w:lang w:val="en-US" w:eastAsia="zh-CN"/>
              </w:rPr>
            </w:pPr>
            <w:r>
              <w:rPr>
                <w:rFonts w:hint="eastAsia"/>
                <w:b/>
                <w:bCs/>
                <w:vertAlign w:val="baseline"/>
                <w:lang w:val="en-US" w:eastAsia="zh-CN"/>
              </w:rPr>
              <w:t>单位（套）</w:t>
            </w:r>
          </w:p>
        </w:tc>
        <w:tc>
          <w:tcPr>
            <w:tcW w:w="1511" w:type="dxa"/>
          </w:tcPr>
          <w:p>
            <w:pPr>
              <w:jc w:val="center"/>
              <w:rPr>
                <w:rFonts w:hint="eastAsia"/>
                <w:b/>
                <w:bCs/>
                <w:vertAlign w:val="baseline"/>
                <w:lang w:val="en-US" w:eastAsia="zh-CN"/>
              </w:rPr>
            </w:pPr>
            <w:r>
              <w:rPr>
                <w:rFonts w:hint="eastAsia"/>
                <w:b/>
                <w:bCs/>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jc w:val="center"/>
        </w:trPr>
        <w:tc>
          <w:tcPr>
            <w:tcW w:w="718"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1</w:t>
            </w:r>
          </w:p>
        </w:tc>
        <w:tc>
          <w:tcPr>
            <w:tcW w:w="3468" w:type="dxa"/>
          </w:tcPr>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定制爆破片装置 DN500：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1. 法兰盘内径 500mm；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2. 法兰盘外径 580mm；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3. 法兰盘孔中心距 540mm；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4. 法兰盘孔数量 16 个； </w:t>
            </w:r>
          </w:p>
          <w:p>
            <w:pPr>
              <w:keepNext w:val="0"/>
              <w:keepLines w:val="0"/>
              <w:widowControl/>
              <w:suppressLineNumbers w:val="0"/>
              <w:jc w:val="left"/>
              <w:rPr>
                <w:rFonts w:hint="eastAsia"/>
                <w:vertAlign w:val="baseline"/>
                <w:lang w:val="en-US" w:eastAsia="zh-CN"/>
              </w:rPr>
            </w:pPr>
            <w:r>
              <w:rPr>
                <w:rFonts w:hint="eastAsia" w:ascii="宋体" w:hAnsi="宋体" w:eastAsia="宋体" w:cs="宋体"/>
                <w:color w:val="333333"/>
                <w:kern w:val="0"/>
                <w:sz w:val="24"/>
                <w:szCs w:val="24"/>
                <w:lang w:val="en-US" w:eastAsia="zh-CN" w:bidi="ar"/>
              </w:rPr>
              <w:t>5. 法兰盘孔径 8mm</w:t>
            </w:r>
          </w:p>
        </w:tc>
        <w:tc>
          <w:tcPr>
            <w:tcW w:w="1302"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2</w:t>
            </w:r>
          </w:p>
        </w:tc>
        <w:tc>
          <w:tcPr>
            <w:tcW w:w="1522"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套</w:t>
            </w:r>
          </w:p>
        </w:tc>
        <w:tc>
          <w:tcPr>
            <w:tcW w:w="151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2</w:t>
            </w:r>
          </w:p>
        </w:tc>
        <w:tc>
          <w:tcPr>
            <w:tcW w:w="3468" w:type="dxa"/>
          </w:tcPr>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定制爆破片装置 DN490：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1. 法兰盘内径 490mm；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2. 法兰盘外径 570mm；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3. 法兰盘孔中心距 530mm；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4. 法兰盘孔数量 16 个； </w:t>
            </w:r>
          </w:p>
          <w:p>
            <w:pPr>
              <w:keepNext w:val="0"/>
              <w:keepLines w:val="0"/>
              <w:widowControl/>
              <w:suppressLineNumbers w:val="0"/>
              <w:jc w:val="left"/>
              <w:rPr>
                <w:rFonts w:hint="eastAsia"/>
                <w:vertAlign w:val="baseline"/>
                <w:lang w:val="en-US" w:eastAsia="zh-CN"/>
              </w:rPr>
            </w:pPr>
            <w:r>
              <w:rPr>
                <w:rFonts w:hint="eastAsia" w:ascii="宋体" w:hAnsi="宋体" w:eastAsia="宋体" w:cs="宋体"/>
                <w:color w:val="333333"/>
                <w:kern w:val="0"/>
                <w:sz w:val="24"/>
                <w:szCs w:val="24"/>
                <w:lang w:val="en-US" w:eastAsia="zh-CN" w:bidi="ar"/>
              </w:rPr>
              <w:t>法兰盘孔径 8mm</w:t>
            </w:r>
          </w:p>
        </w:tc>
        <w:tc>
          <w:tcPr>
            <w:tcW w:w="1302"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1</w:t>
            </w:r>
          </w:p>
        </w:tc>
        <w:tc>
          <w:tcPr>
            <w:tcW w:w="1522"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套</w:t>
            </w:r>
          </w:p>
        </w:tc>
        <w:tc>
          <w:tcPr>
            <w:tcW w:w="151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3</w:t>
            </w:r>
          </w:p>
        </w:tc>
        <w:tc>
          <w:tcPr>
            <w:tcW w:w="3468" w:type="dxa"/>
          </w:tcPr>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定制爆破片装置 DN300：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1. 法兰盘内径 300mm；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2. 法兰盘外径 400mm；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3. 法兰盘孔中心距 350mm；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4. 法兰盘孔数量 16 个； </w:t>
            </w:r>
          </w:p>
          <w:p>
            <w:pPr>
              <w:keepNext w:val="0"/>
              <w:keepLines w:val="0"/>
              <w:widowControl/>
              <w:suppressLineNumbers w:val="0"/>
              <w:jc w:val="left"/>
              <w:rPr>
                <w:rFonts w:hint="eastAsia"/>
                <w:vertAlign w:val="baseline"/>
                <w:lang w:val="en-US" w:eastAsia="zh-CN"/>
              </w:rPr>
            </w:pPr>
            <w:r>
              <w:rPr>
                <w:rFonts w:hint="eastAsia" w:ascii="宋体" w:hAnsi="宋体" w:eastAsia="宋体" w:cs="宋体"/>
                <w:color w:val="333333"/>
                <w:kern w:val="0"/>
                <w:sz w:val="24"/>
                <w:szCs w:val="24"/>
                <w:lang w:val="en-US" w:eastAsia="zh-CN" w:bidi="ar"/>
              </w:rPr>
              <w:t>法兰盘孔径 8mm</w:t>
            </w:r>
          </w:p>
        </w:tc>
        <w:tc>
          <w:tcPr>
            <w:tcW w:w="1302"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2</w:t>
            </w:r>
          </w:p>
        </w:tc>
        <w:tc>
          <w:tcPr>
            <w:tcW w:w="1522"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套</w:t>
            </w:r>
          </w:p>
        </w:tc>
        <w:tc>
          <w:tcPr>
            <w:tcW w:w="151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4</w:t>
            </w:r>
          </w:p>
        </w:tc>
        <w:tc>
          <w:tcPr>
            <w:tcW w:w="3468" w:type="dxa"/>
            <w:vAlign w:val="center"/>
          </w:tcPr>
          <w:p>
            <w:pPr>
              <w:keepNext w:val="0"/>
              <w:keepLines w:val="0"/>
              <w:widowControl/>
              <w:suppressLineNumbers w:val="0"/>
              <w:jc w:val="center"/>
              <w:rPr>
                <w:rFonts w:hint="eastAsia"/>
                <w:vertAlign w:val="baseline"/>
                <w:lang w:val="en-US" w:eastAsia="zh-CN"/>
              </w:rPr>
            </w:pPr>
            <w:r>
              <w:rPr>
                <w:rFonts w:hint="eastAsia" w:ascii="宋体" w:hAnsi="宋体" w:eastAsia="宋体" w:cs="宋体"/>
                <w:color w:val="333333"/>
                <w:kern w:val="0"/>
                <w:sz w:val="24"/>
                <w:szCs w:val="24"/>
                <w:lang w:val="en-US" w:eastAsia="zh-CN" w:bidi="ar"/>
              </w:rPr>
              <w:t>爆破片安装费用</w:t>
            </w:r>
          </w:p>
        </w:tc>
        <w:tc>
          <w:tcPr>
            <w:tcW w:w="1302"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5</w:t>
            </w:r>
          </w:p>
        </w:tc>
        <w:tc>
          <w:tcPr>
            <w:tcW w:w="1522"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套</w:t>
            </w:r>
          </w:p>
        </w:tc>
        <w:tc>
          <w:tcPr>
            <w:tcW w:w="151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5</w:t>
            </w:r>
          </w:p>
        </w:tc>
        <w:tc>
          <w:tcPr>
            <w:tcW w:w="3468" w:type="dxa"/>
            <w:vAlign w:val="center"/>
          </w:tcPr>
          <w:p>
            <w:pPr>
              <w:keepNext w:val="0"/>
              <w:keepLines w:val="0"/>
              <w:widowControl/>
              <w:suppressLineNumbers w:val="0"/>
              <w:jc w:val="center"/>
              <w:rPr>
                <w:rFonts w:hint="eastAsia"/>
                <w:vertAlign w:val="baseline"/>
                <w:lang w:val="en-US" w:eastAsia="zh-CN"/>
              </w:rPr>
            </w:pPr>
            <w:r>
              <w:rPr>
                <w:rFonts w:hint="eastAsia" w:ascii="宋体" w:hAnsi="宋体" w:eastAsia="宋体" w:cs="宋体"/>
                <w:color w:val="333333"/>
                <w:kern w:val="0"/>
                <w:sz w:val="24"/>
                <w:szCs w:val="24"/>
                <w:lang w:val="en-US" w:eastAsia="zh-CN" w:bidi="ar"/>
              </w:rPr>
              <w:t>爆破片设计费用</w:t>
            </w:r>
          </w:p>
        </w:tc>
        <w:tc>
          <w:tcPr>
            <w:tcW w:w="1302"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5</w:t>
            </w:r>
          </w:p>
        </w:tc>
        <w:tc>
          <w:tcPr>
            <w:tcW w:w="1522"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套</w:t>
            </w:r>
          </w:p>
        </w:tc>
        <w:tc>
          <w:tcPr>
            <w:tcW w:w="151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0" w:type="dxa"/>
            <w:gridSpan w:val="4"/>
            <w:vAlign w:val="center"/>
          </w:tcPr>
          <w:p>
            <w:pPr>
              <w:jc w:val="center"/>
              <w:rPr>
                <w:rFonts w:hint="eastAsia"/>
                <w:sz w:val="30"/>
                <w:szCs w:val="30"/>
                <w:vertAlign w:val="baseline"/>
                <w:lang w:val="en-US" w:eastAsia="zh-CN"/>
              </w:rPr>
            </w:pPr>
            <w:r>
              <w:rPr>
                <w:rFonts w:hint="eastAsia"/>
                <w:sz w:val="30"/>
                <w:szCs w:val="30"/>
                <w:vertAlign w:val="baseline"/>
                <w:lang w:val="en-US" w:eastAsia="zh-CN"/>
              </w:rPr>
              <w:t>合计</w:t>
            </w:r>
            <w:bookmarkStart w:id="0" w:name="_GoBack"/>
            <w:bookmarkEnd w:id="0"/>
          </w:p>
        </w:tc>
        <w:tc>
          <w:tcPr>
            <w:tcW w:w="1511" w:type="dxa"/>
            <w:vAlign w:val="center"/>
          </w:tcPr>
          <w:p>
            <w:pPr>
              <w:jc w:val="center"/>
              <w:rPr>
                <w:rFonts w:hint="eastAsia"/>
                <w:sz w:val="30"/>
                <w:szCs w:val="30"/>
                <w:vertAlign w:val="baseline"/>
                <w:lang w:val="en-US" w:eastAsia="zh-CN"/>
              </w:rPr>
            </w:pPr>
          </w:p>
        </w:tc>
      </w:tr>
    </w:tbl>
    <w:p>
      <w:pPr>
        <w:rPr>
          <w:rFonts w:hint="eastAsia"/>
          <w:lang w:val="en-US" w:eastAsia="zh-CN"/>
        </w:rPr>
      </w:pPr>
    </w:p>
    <w:p>
      <w:pPr>
        <w:numPr>
          <w:ilvl w:val="0"/>
          <w:numId w:val="1"/>
        </w:numPr>
        <w:rPr>
          <w:rFonts w:hint="eastAsia"/>
          <w:b/>
          <w:bCs/>
          <w:sz w:val="32"/>
          <w:szCs w:val="32"/>
          <w:lang w:val="en-US" w:eastAsia="zh-CN"/>
        </w:rPr>
      </w:pPr>
      <w:r>
        <w:rPr>
          <w:rFonts w:hint="eastAsia"/>
          <w:b/>
          <w:bCs/>
          <w:sz w:val="32"/>
          <w:szCs w:val="32"/>
          <w:lang w:val="en-US" w:eastAsia="zh-CN"/>
        </w:rPr>
        <w:t>采购预算：2.5万元</w:t>
      </w:r>
    </w:p>
    <w:p>
      <w:pPr>
        <w:numPr>
          <w:ilvl w:val="0"/>
          <w:numId w:val="0"/>
        </w:numPr>
        <w:rPr>
          <w:rFonts w:hint="eastAsia"/>
          <w:b/>
          <w:bCs/>
          <w:lang w:val="en-US" w:eastAsia="zh-CN"/>
        </w:rPr>
      </w:pPr>
      <w:r>
        <w:rPr>
          <w:rFonts w:hint="eastAsia"/>
          <w:b/>
          <w:bCs/>
          <w:sz w:val="32"/>
          <w:szCs w:val="32"/>
          <w:lang w:val="en-US" w:eastAsia="zh-CN"/>
        </w:rPr>
        <w:t>四、锅炉防爆片供应商需具备条件</w:t>
      </w:r>
      <w:r>
        <w:rPr>
          <w:rFonts w:hint="eastAsia"/>
          <w:b/>
          <w:bCs/>
          <w:lang w:val="en-US" w:eastAsia="zh-CN"/>
        </w:rPr>
        <w:t>：</w:t>
      </w:r>
    </w:p>
    <w:p>
      <w:pPr>
        <w:numPr>
          <w:ilvl w:val="0"/>
          <w:numId w:val="0"/>
        </w:numPr>
        <w:rPr>
          <w:rFonts w:hint="eastAsia"/>
          <w:sz w:val="32"/>
          <w:szCs w:val="32"/>
          <w:lang w:val="en-US" w:eastAsia="zh-CN"/>
        </w:rPr>
      </w:pPr>
      <w:r>
        <w:rPr>
          <w:rFonts w:hint="eastAsia"/>
          <w:sz w:val="32"/>
          <w:szCs w:val="32"/>
          <w:lang w:val="en-US" w:eastAsia="zh-CN"/>
        </w:rPr>
        <w:t>1</w:t>
      </w:r>
      <w:r>
        <w:rPr>
          <w:rFonts w:hint="eastAsia"/>
          <w:b/>
          <w:bCs/>
          <w:sz w:val="32"/>
          <w:szCs w:val="32"/>
          <w:lang w:val="en-US" w:eastAsia="zh-CN"/>
        </w:rPr>
        <w:t>.营业执照：</w:t>
      </w:r>
    </w:p>
    <w:p>
      <w:pPr>
        <w:numPr>
          <w:ilvl w:val="0"/>
          <w:numId w:val="0"/>
        </w:numPr>
        <w:ind w:firstLine="320" w:firstLineChars="100"/>
        <w:rPr>
          <w:rFonts w:hint="eastAsia"/>
          <w:sz w:val="32"/>
          <w:szCs w:val="32"/>
          <w:lang w:val="en-US" w:eastAsia="zh-CN"/>
        </w:rPr>
      </w:pPr>
      <w:r>
        <w:rPr>
          <w:rFonts w:hint="eastAsia"/>
          <w:sz w:val="32"/>
          <w:szCs w:val="32"/>
          <w:lang w:val="en-US" w:eastAsia="zh-CN"/>
        </w:rPr>
        <w:t>供应商必须持有合法有效的营业执照，且经营范围应包含防爆片、安全泄压设备或相关产品的生产与销售。</w:t>
      </w:r>
    </w:p>
    <w:p>
      <w:pPr>
        <w:numPr>
          <w:ilvl w:val="0"/>
          <w:numId w:val="0"/>
        </w:numPr>
        <w:rPr>
          <w:rFonts w:hint="eastAsia"/>
          <w:b/>
          <w:bCs/>
          <w:sz w:val="32"/>
          <w:szCs w:val="32"/>
          <w:lang w:val="en-US" w:eastAsia="zh-CN"/>
        </w:rPr>
      </w:pPr>
      <w:r>
        <w:rPr>
          <w:rFonts w:hint="eastAsia"/>
          <w:b/>
          <w:bCs/>
          <w:sz w:val="32"/>
          <w:szCs w:val="32"/>
          <w:lang w:val="en-US" w:eastAsia="zh-CN"/>
        </w:rPr>
        <w:t>2. 特种设备检测认证：</w:t>
      </w:r>
    </w:p>
    <w:p>
      <w:pPr>
        <w:numPr>
          <w:ilvl w:val="0"/>
          <w:numId w:val="0"/>
        </w:numPr>
        <w:ind w:firstLine="640" w:firstLineChars="200"/>
        <w:rPr>
          <w:rFonts w:hint="eastAsia"/>
          <w:sz w:val="32"/>
          <w:szCs w:val="32"/>
          <w:lang w:val="en-US" w:eastAsia="zh-CN"/>
        </w:rPr>
      </w:pPr>
      <w:r>
        <w:rPr>
          <w:rFonts w:hint="eastAsia"/>
          <w:sz w:val="32"/>
          <w:szCs w:val="32"/>
          <w:lang w:val="en-US" w:eastAsia="zh-CN"/>
        </w:rPr>
        <w:t>供应商的产品必须通过特种设备检测所或其他具有相应资质的特检所的检测与认证，确保产品符合国家安全标准和规定。</w:t>
      </w:r>
    </w:p>
    <w:p>
      <w:pPr>
        <w:numPr>
          <w:ilvl w:val="0"/>
          <w:numId w:val="0"/>
        </w:numPr>
        <w:ind w:firstLine="640" w:firstLineChars="200"/>
        <w:rPr>
          <w:rFonts w:hint="eastAsia"/>
          <w:sz w:val="32"/>
          <w:szCs w:val="32"/>
          <w:lang w:val="en-US" w:eastAsia="zh-CN"/>
        </w:rPr>
      </w:pPr>
      <w:r>
        <w:rPr>
          <w:rFonts w:hint="eastAsia"/>
          <w:sz w:val="32"/>
          <w:szCs w:val="32"/>
          <w:lang w:val="en-US" w:eastAsia="zh-CN"/>
        </w:rPr>
        <w:t>供应商应能提供相关的检测报告和中华人民共和国特种设备生产许可证，以证明其产品的合法性和安全性。</w:t>
      </w:r>
    </w:p>
    <w:p>
      <w:pPr>
        <w:numPr>
          <w:ilvl w:val="0"/>
          <w:numId w:val="0"/>
        </w:numPr>
        <w:rPr>
          <w:rFonts w:hint="eastAsia"/>
          <w:b/>
          <w:bCs/>
          <w:sz w:val="32"/>
          <w:szCs w:val="32"/>
          <w:lang w:val="en-US" w:eastAsia="zh-CN"/>
        </w:rPr>
      </w:pPr>
      <w:r>
        <w:rPr>
          <w:rFonts w:hint="eastAsia"/>
          <w:b/>
          <w:bCs/>
          <w:sz w:val="32"/>
          <w:szCs w:val="32"/>
          <w:lang w:val="en-US" w:eastAsia="zh-CN"/>
        </w:rPr>
        <w:t>3.安装相关要求</w:t>
      </w:r>
    </w:p>
    <w:p>
      <w:pPr>
        <w:numPr>
          <w:ilvl w:val="0"/>
          <w:numId w:val="0"/>
        </w:numPr>
        <w:ind w:firstLine="640" w:firstLineChars="200"/>
        <w:rPr>
          <w:rFonts w:hint="eastAsia"/>
          <w:sz w:val="32"/>
          <w:szCs w:val="32"/>
          <w:lang w:val="en-US" w:eastAsia="zh-CN"/>
        </w:rPr>
      </w:pPr>
      <w:r>
        <w:rPr>
          <w:rFonts w:hint="eastAsia"/>
          <w:sz w:val="32"/>
          <w:szCs w:val="32"/>
          <w:lang w:val="en-US" w:eastAsia="zh-CN"/>
        </w:rPr>
        <w:t>安装工期通常应在1个工作日内完成，但具体时间可能受现场环境、设备规格和安装团队经验等因素影响。</w:t>
      </w:r>
    </w:p>
    <w:p>
      <w:pPr>
        <w:numPr>
          <w:ilvl w:val="0"/>
          <w:numId w:val="0"/>
        </w:numPr>
        <w:ind w:firstLine="640" w:firstLineChars="200"/>
        <w:rPr>
          <w:rFonts w:hint="eastAsia"/>
          <w:sz w:val="32"/>
          <w:szCs w:val="32"/>
          <w:lang w:val="en-US" w:eastAsia="zh-CN"/>
        </w:rPr>
      </w:pPr>
      <w:r>
        <w:rPr>
          <w:rFonts w:hint="eastAsia"/>
          <w:sz w:val="32"/>
          <w:szCs w:val="32"/>
          <w:lang w:val="en-US" w:eastAsia="zh-CN"/>
        </w:rPr>
        <w:t>供应商应承诺在约定的时间内完成安装工作，并确保安装质量符合标准。</w:t>
      </w:r>
    </w:p>
    <w:p>
      <w:pPr>
        <w:numPr>
          <w:ilvl w:val="0"/>
          <w:numId w:val="0"/>
        </w:numPr>
        <w:rPr>
          <w:rFonts w:hint="eastAsia"/>
          <w:b/>
          <w:bCs/>
          <w:sz w:val="32"/>
          <w:szCs w:val="32"/>
          <w:lang w:val="en-US" w:eastAsia="zh-CN"/>
        </w:rPr>
      </w:pPr>
      <w:r>
        <w:rPr>
          <w:rFonts w:hint="eastAsia"/>
          <w:b/>
          <w:bCs/>
          <w:sz w:val="32"/>
          <w:szCs w:val="32"/>
          <w:lang w:val="en-US" w:eastAsia="zh-CN"/>
        </w:rPr>
        <w:t>4.合格标准：</w:t>
      </w:r>
    </w:p>
    <w:p>
      <w:pPr>
        <w:numPr>
          <w:ilvl w:val="0"/>
          <w:numId w:val="0"/>
        </w:numPr>
        <w:ind w:firstLine="640" w:firstLineChars="200"/>
        <w:rPr>
          <w:rFonts w:hint="eastAsia"/>
          <w:sz w:val="32"/>
          <w:szCs w:val="32"/>
          <w:lang w:val="en-US" w:eastAsia="zh-CN"/>
        </w:rPr>
      </w:pPr>
      <w:r>
        <w:rPr>
          <w:rFonts w:hint="eastAsia"/>
          <w:sz w:val="32"/>
          <w:szCs w:val="32"/>
          <w:lang w:val="en-US" w:eastAsia="zh-CN"/>
        </w:rPr>
        <w:t>（1）安装完成后，需要进行相应的检查和测试，以确保防爆片能够正常工作并符合安全标准。</w:t>
      </w:r>
    </w:p>
    <w:p>
      <w:pPr>
        <w:numPr>
          <w:ilvl w:val="0"/>
          <w:numId w:val="0"/>
        </w:numPr>
        <w:ind w:firstLine="640" w:firstLineChars="200"/>
        <w:rPr>
          <w:rFonts w:hint="eastAsia"/>
          <w:sz w:val="32"/>
          <w:szCs w:val="32"/>
          <w:lang w:val="en-US" w:eastAsia="zh-CN"/>
        </w:rPr>
      </w:pPr>
      <w:r>
        <w:rPr>
          <w:rFonts w:hint="eastAsia"/>
          <w:sz w:val="32"/>
          <w:szCs w:val="32"/>
          <w:lang w:val="en-US" w:eastAsia="zh-CN"/>
        </w:rPr>
        <w:t>（2）供应商应配合特检所出具相关的检测报告和合格证书，证明安装质量符合要求。</w:t>
      </w:r>
    </w:p>
    <w:p>
      <w:pPr>
        <w:numPr>
          <w:ilvl w:val="0"/>
          <w:numId w:val="0"/>
        </w:numPr>
        <w:ind w:firstLine="640" w:firstLineChars="200"/>
        <w:rPr>
          <w:rFonts w:hint="eastAsia"/>
          <w:sz w:val="32"/>
          <w:szCs w:val="32"/>
          <w:lang w:val="en-US" w:eastAsia="zh-CN"/>
        </w:rPr>
      </w:pPr>
      <w:r>
        <w:rPr>
          <w:rFonts w:hint="eastAsia"/>
          <w:sz w:val="32"/>
          <w:szCs w:val="32"/>
          <w:lang w:val="en-US" w:eastAsia="zh-CN"/>
        </w:rPr>
        <w:t>（3） 配合特检所出报告：供应商在安装完成后，应主动配合特检所进行必要的检测工作，并提供所需的资料和文件。</w:t>
      </w:r>
    </w:p>
    <w:p>
      <w:pPr>
        <w:numPr>
          <w:ilvl w:val="0"/>
          <w:numId w:val="0"/>
        </w:numPr>
        <w:ind w:firstLine="640" w:firstLineChars="200"/>
        <w:rPr>
          <w:rFonts w:hint="default" w:eastAsiaTheme="minorEastAsia"/>
          <w:lang w:val="en-US" w:eastAsia="zh-CN"/>
        </w:rPr>
      </w:pPr>
      <w:r>
        <w:rPr>
          <w:rFonts w:hint="eastAsia"/>
          <w:sz w:val="32"/>
          <w:szCs w:val="32"/>
          <w:lang w:val="en-US" w:eastAsia="zh-CN"/>
        </w:rPr>
        <w:t>（4）供应商应及时获取并交付特检所出具的检测报告和合格证书给客户，以确保项目的顺利验收和使用。</w:t>
      </w:r>
      <w:r>
        <w:rPr>
          <w:rFonts w:hint="eastAsia"/>
          <w:sz w:val="32"/>
          <w:szCs w:val="32"/>
          <w:lang w:val="en-US" w:eastAsia="zh-CN"/>
        </w:rPr>
        <w:br w:type="textWrapping"/>
      </w:r>
      <w:r>
        <w:rPr>
          <w:rFonts w:hint="eastAsia"/>
          <w:b/>
          <w:bCs/>
          <w:sz w:val="32"/>
          <w:szCs w:val="32"/>
          <w:lang w:val="en-US" w:eastAsia="zh-CN"/>
        </w:rPr>
        <w:t>五、付款方式：安装完成后并顺利完成验收，并经甲方确认正常投入使用后，支付100%费用。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4112"/>
    <w:multiLevelType w:val="singleLevel"/>
    <w:tmpl w:val="178541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82838"/>
    <w:rsid w:val="0A71587A"/>
    <w:rsid w:val="13BA2040"/>
    <w:rsid w:val="14575AE1"/>
    <w:rsid w:val="14667AD2"/>
    <w:rsid w:val="27BD1CA7"/>
    <w:rsid w:val="3725485C"/>
    <w:rsid w:val="3A63048C"/>
    <w:rsid w:val="43F42155"/>
    <w:rsid w:val="494F6735"/>
    <w:rsid w:val="4CC90623"/>
    <w:rsid w:val="52FA790D"/>
    <w:rsid w:val="54776BB6"/>
    <w:rsid w:val="5934151A"/>
    <w:rsid w:val="63D00091"/>
    <w:rsid w:val="670A1B0C"/>
    <w:rsid w:val="68ED3493"/>
    <w:rsid w:val="7455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2025-02-19T01:37:00Z</dcterms:created>
  <dc:creator>xtsyy</dc:creator>
  <cp:lastModifiedBy>高莉</cp:lastModifiedBy>
  <dcterms:modified xsi:type="dcterms:W3CDTF">2025-05-14T01:23:25Z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eyJoZGlkIjoiMzA2N2RjNTIyOTI3NTFjZTQ0ZWE3MDExZWI4YTE5ZWEiLCJ1c2VySWQiOiI1NDgyNzY1OTkifQ==</vt:lpwstr>
  </property>
  <property fmtid="{D5CDD505-2E9C-101B-9397-08002B2CF9AE}" pid="4" name="ICV">
    <vt:lpwstr>474E5FE46A65462DBF075D4FCDBA2B27_12</vt:lpwstr>
  </property>
</Properties>
</file>