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冰箱参数</w:t>
      </w:r>
    </w:p>
    <w:p>
      <w:pPr>
        <w:jc w:val="left"/>
        <w:rPr>
          <w:rFonts w:hint="default"/>
          <w:sz w:val="36"/>
          <w:szCs w:val="36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规格及数量：170升（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±5升</w:t>
      </w:r>
      <w:r>
        <w:rPr>
          <w:rFonts w:hint="eastAsia"/>
          <w:sz w:val="32"/>
          <w:szCs w:val="32"/>
          <w:lang w:val="en-US" w:eastAsia="zh-CN"/>
        </w:rPr>
        <w:t>）18台，260升（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±5升</w:t>
      </w:r>
      <w:r>
        <w:rPr>
          <w:rFonts w:hint="eastAsia"/>
          <w:sz w:val="32"/>
          <w:szCs w:val="32"/>
          <w:lang w:val="en-US" w:eastAsia="zh-CN"/>
        </w:rPr>
        <w:t>）10台，共计28台，预算合计4.1万元。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参数：两门/三门风冷无霜，面板颜色为米、白等浅色系，面板材质PCM，额定电压/频率220V/50Hz，综合耗电量小于等于0.68KW</w:t>
      </w:r>
      <w:r>
        <w:rPr>
          <w:rFonts w:hint="default" w:ascii="Calibri" w:hAnsi="Calibri" w:cs="Calibri"/>
          <w:sz w:val="32"/>
          <w:szCs w:val="32"/>
          <w:lang w:val="en-US" w:eastAsia="zh-CN"/>
        </w:rPr>
        <w:t>·</w:t>
      </w:r>
      <w:r>
        <w:rPr>
          <w:rFonts w:hint="eastAsia" w:cstheme="minorHAnsi"/>
          <w:sz w:val="32"/>
          <w:szCs w:val="32"/>
          <w:lang w:val="en-US" w:eastAsia="zh-CN"/>
        </w:rPr>
        <w:t>h</w:t>
      </w:r>
      <w:r>
        <w:rPr>
          <w:rFonts w:hint="eastAsia"/>
          <w:sz w:val="32"/>
          <w:szCs w:val="32"/>
          <w:lang w:val="en-US" w:eastAsia="zh-CN"/>
        </w:rPr>
        <w:t>/24h，能效等级小于等于2级，压缩机类型为定频/变频，噪音值小于等于38dB(A)。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交货期：合同签订后10个工作日。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参考图片：</w:t>
      </w:r>
    </w:p>
    <w:p>
      <w:pPr>
        <w:widowControl w:val="0"/>
        <w:numPr>
          <w:ilvl w:val="0"/>
          <w:numId w:val="0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2614930" cy="3457575"/>
            <wp:effectExtent l="0" t="0" r="13970" b="9525"/>
            <wp:docPr id="1" name="图片 1" descr="ea1f2b9a43be29c53857dff0f7bbf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a1f2b9a43be29c53857dff0f7bbff6"/>
                    <pic:cNvPicPr>
                      <a:picLocks noChangeAspect="1"/>
                    </pic:cNvPicPr>
                  </pic:nvPicPr>
                  <pic:blipFill>
                    <a:blip r:embed="rId4"/>
                    <a:srcRect l="-639" t="28264" r="1229" b="14087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2600960" cy="3453765"/>
            <wp:effectExtent l="0" t="0" r="8890" b="13335"/>
            <wp:docPr id="2" name="图片 2" descr="8005479d2fa4a552267b8d17e31b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05479d2fa4a552267b8d17e31b628"/>
                    <pic:cNvPicPr>
                      <a:picLocks noChangeAspect="1"/>
                    </pic:cNvPicPr>
                  </pic:nvPicPr>
                  <pic:blipFill>
                    <a:blip r:embed="rId5"/>
                    <a:srcRect t="14442" b="18753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质保期：不少于一年。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40DA94"/>
    <w:multiLevelType w:val="singleLevel"/>
    <w:tmpl w:val="F840DA9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569A6"/>
    <w:rsid w:val="12990EBD"/>
    <w:rsid w:val="15AB5A0D"/>
    <w:rsid w:val="2AD35F61"/>
    <w:rsid w:val="567254E3"/>
    <w:rsid w:val="5CA5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2025-05-21T07:16:00Z</dcterms:created>
  <dc:creator>陈丽妍</dc:creator>
  <cp:lastModifiedBy>陈丽妍</cp:lastModifiedBy>
  <dcterms:modified xsi:type="dcterms:W3CDTF">2025-05-23T00:53:58Z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