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val="0"/>
        <w:spacing w:line="240" w:lineRule="auto"/>
        <w:ind w:left="936" w:leftChars="390" w:firstLine="0" w:firstLineChars="0"/>
        <w:jc w:val="center"/>
        <w:textAlignment w:val="auto"/>
        <w:outlineLvl w:val="0"/>
        <w:rPr>
          <w:rFonts w:hint="eastAsia" w:ascii="华文仿宋" w:hAnsi="华文仿宋" w:eastAsia="华文仿宋"/>
          <w:b/>
          <w:kern w:val="2"/>
          <w:sz w:val="40"/>
          <w:szCs w:val="44"/>
          <w:lang w:eastAsia="zh-CN"/>
        </w:rPr>
      </w:pPr>
      <w:r>
        <w:rPr>
          <w:rFonts w:hint="eastAsia" w:ascii="华文仿宋" w:hAnsi="华文仿宋" w:eastAsia="华文仿宋"/>
          <w:b/>
          <w:kern w:val="2"/>
          <w:sz w:val="40"/>
          <w:szCs w:val="44"/>
          <w:lang w:eastAsia="zh-CN"/>
        </w:rPr>
        <w:t>地基</w:t>
      </w:r>
      <w:r>
        <w:rPr>
          <w:rFonts w:ascii="华文仿宋" w:hAnsi="华文仿宋" w:eastAsia="华文仿宋"/>
          <w:b/>
          <w:kern w:val="2"/>
          <w:sz w:val="40"/>
          <w:szCs w:val="44"/>
        </w:rPr>
        <w:t>沉降</w:t>
      </w:r>
      <w:r>
        <w:rPr>
          <w:rFonts w:hint="eastAsia" w:ascii="华文仿宋" w:hAnsi="华文仿宋" w:eastAsia="华文仿宋"/>
          <w:b/>
          <w:kern w:val="2"/>
          <w:sz w:val="40"/>
          <w:szCs w:val="44"/>
          <w:lang w:eastAsia="zh-CN"/>
        </w:rPr>
        <w:t>技术标准及工作要求</w:t>
      </w:r>
    </w:p>
    <w:p>
      <w:pPr>
        <w:pStyle w:val="2"/>
        <w:spacing w:before="120" w:after="120"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1、工程概况</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小汤山医院新建战备病房，建筑面积约6</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平方米，结构体系为三层集装箱+钢结构。平面十个病房区呈鱼骨状布局，由中央医护区串联。在平整后的填土上方铺再生料并碾压密实，再做300mm厚水泥碎石稳定层作为条形基础的垫层。基础形式为单向条形基础，承托所有集装箱式房，病房区条形基础南北向布置，长度20m，间距3m。连接病房区的医护区基础东西向布置，长度36m，间距2-3m。条形基础，宽度450mm，高度700mm，条形基础之间为空腔。</w:t>
      </w:r>
    </w:p>
    <w:p>
      <w:pPr>
        <w:pStyle w:val="2"/>
        <w:spacing w:before="120" w:after="120"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2、沉降观测目的</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立与建设单位等参建方的高效反馈机制，确保监测数据、巡视信息等第一手资料及时报送至各方，并对现场存在的问题及异常情况提供处置建议，达到动态指导加固地基的目的，并为施工安全和设计、施工方案优化提供科学依据。</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（2）作为独立的监测方，其监测数据和相关分析资料可成为处理风险事物和工程安全事故的重要参考依据；如发生环境破坏的投诉事件，第三方监测相关成果可作为有关机构评定和界定相关单位责任的依据。</w:t>
      </w:r>
    </w:p>
    <w:p>
      <w:pPr>
        <w:pStyle w:val="2"/>
        <w:spacing w:before="120" w:after="120" w:line="360" w:lineRule="auto"/>
        <w:ind w:firstLine="0" w:firstLineChars="0"/>
        <w:rPr>
          <w:rFonts w:hint="eastAsia" w:ascii="仿宋_GB2312" w:hAnsi="仿宋_GB2312" w:eastAsia="仿宋_GB2312" w:cs="仿宋_GB2312"/>
          <w:sz w:val="28"/>
          <w:szCs w:val="28"/>
        </w:rPr>
      </w:pPr>
      <w:bookmarkStart w:id="0" w:name="_Toc476062808"/>
      <w:bookmarkStart w:id="1" w:name="_Toc468864476"/>
      <w:bookmarkStart w:id="2" w:name="_Toc344300880"/>
      <w:bookmarkStart w:id="3" w:name="_Toc341709954"/>
      <w:bookmarkStart w:id="4" w:name="_Toc55293105"/>
      <w:bookmarkStart w:id="5" w:name="_Toc375246528"/>
      <w:r>
        <w:rPr>
          <w:rFonts w:hint="eastAsia" w:ascii="仿宋_GB2312" w:hAnsi="仿宋_GB2312" w:eastAsia="仿宋_GB2312" w:cs="仿宋_GB2312"/>
          <w:sz w:val="28"/>
          <w:szCs w:val="28"/>
        </w:rPr>
        <w:t>3、沉降观测依据</w:t>
      </w:r>
      <w:bookmarkEnd w:id="0"/>
      <w:bookmarkEnd w:id="1"/>
      <w:bookmarkEnd w:id="2"/>
      <w:bookmarkEnd w:id="3"/>
      <w:bookmarkEnd w:id="4"/>
      <w:bookmarkEnd w:id="5"/>
    </w:p>
    <w:p>
      <w:pPr>
        <w:widowControl/>
        <w:snapToGrid w:val="0"/>
        <w:ind w:firstLine="480"/>
        <w:rPr>
          <w:rFonts w:hint="eastAsia" w:ascii="仿宋_GB2312" w:hAnsi="仿宋_GB2312" w:eastAsia="仿宋_GB2312" w:cs="仿宋_GB2312"/>
          <w:sz w:val="28"/>
          <w:szCs w:val="28"/>
        </w:rPr>
      </w:pPr>
      <w:bookmarkStart w:id="6" w:name="_Toc240247026"/>
      <w:bookmarkEnd w:id="6"/>
      <w:bookmarkStart w:id="7" w:name="_Toc240337368"/>
      <w:bookmarkEnd w:id="7"/>
      <w:bookmarkStart w:id="8" w:name="_Toc240247027"/>
      <w:bookmarkEnd w:id="8"/>
      <w:bookmarkStart w:id="9" w:name="_Toc240337287"/>
      <w:bookmarkEnd w:id="9"/>
      <w:bookmarkStart w:id="10" w:name="_Toc240337286"/>
      <w:bookmarkEnd w:id="10"/>
      <w:bookmarkStart w:id="11" w:name="_Toc240275887"/>
      <w:bookmarkEnd w:id="11"/>
      <w:bookmarkStart w:id="12" w:name="_Toc240275888"/>
      <w:bookmarkEnd w:id="12"/>
      <w:bookmarkStart w:id="13" w:name="_Toc240337367"/>
      <w:bookmarkEnd w:id="13"/>
      <w:r>
        <w:rPr>
          <w:rFonts w:hint="eastAsia" w:ascii="仿宋_GB2312" w:hAnsi="仿宋_GB2312" w:eastAsia="仿宋_GB2312" w:cs="仿宋_GB2312"/>
          <w:sz w:val="28"/>
          <w:szCs w:val="28"/>
        </w:rPr>
        <w:t>国家、北京市颁布的现行有关规范、标准及相关文件，包括但不限于以下：</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《工程测量标准》(GB50026-2020)</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《建筑变形测量规范》（JGJ8-2016）</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《建筑地基基础设计规范》（GB 50007-2011）</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《北京地区建筑地基基础勘察设计规范》（DBJ 11-501-2009）（2016年版）</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《岩土工程勘察规范》（GB 50021-2001,2009）</w:t>
      </w:r>
    </w:p>
    <w:p>
      <w:pPr>
        <w:widowControl/>
        <w:snapToGrid w:val="0"/>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《国家一、二等水准测量规范》（GB/T12897-2006）</w:t>
      </w:r>
    </w:p>
    <w:p>
      <w:pPr>
        <w:pStyle w:val="2"/>
        <w:spacing w:before="120" w:after="120"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4、沉降观测技术要求</w:t>
      </w:r>
    </w:p>
    <w:p>
      <w:pPr>
        <w:pStyle w:val="3"/>
        <w:spacing w:before="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4.1观测范围</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本工程拟小汤山医院应急改扩建工程建筑物主体进行沉降观测。</w:t>
      </w:r>
    </w:p>
    <w:p>
      <w:pPr>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观测范围：</w:t>
      </w:r>
      <w:r>
        <w:rPr>
          <w:rFonts w:hint="eastAsia" w:ascii="仿宋_GB2312" w:hAnsi="仿宋_GB2312" w:eastAsia="仿宋_GB2312" w:cs="仿宋_GB2312"/>
          <w:sz w:val="28"/>
          <w:szCs w:val="28"/>
          <w:highlight w:val="none"/>
          <w:lang w:val="en-US" w:eastAsia="zh-CN"/>
        </w:rPr>
        <w:t>新建</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eastAsia="zh-CN"/>
        </w:rPr>
        <w:t>至</w:t>
      </w:r>
      <w:r>
        <w:rPr>
          <w:rFonts w:hint="eastAsia" w:ascii="仿宋_GB2312" w:hAnsi="仿宋_GB2312" w:eastAsia="仿宋_GB2312" w:cs="仿宋_GB2312"/>
          <w:sz w:val="28"/>
          <w:szCs w:val="28"/>
          <w:highlight w:val="none"/>
        </w:rPr>
        <w:t>十病区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医技楼</w:t>
      </w:r>
      <w:r>
        <w:rPr>
          <w:rFonts w:hint="eastAsia" w:ascii="仿宋_GB2312" w:hAnsi="仿宋_GB2312" w:eastAsia="仿宋_GB2312" w:cs="仿宋_GB2312"/>
          <w:sz w:val="28"/>
          <w:szCs w:val="28"/>
          <w:highlight w:val="none"/>
          <w:lang w:val="en-US" w:eastAsia="zh-CN"/>
        </w:rPr>
        <w:t>以及周边附属设施（新建锅炉房、食堂餐厅、洗衣房、120洗消间、危险品暂存间、危险废弃物暂存间、压缩空气间、负压吸引间、液氧站、污水站、垃圾暂存间、垃圾消毒间等</w:t>
      </w:r>
      <w:r>
        <w:rPr>
          <w:rFonts w:hint="eastAsia" w:ascii="仿宋_GB2312" w:hAnsi="仿宋_GB2312" w:eastAsia="仿宋_GB2312" w:cs="仿宋_GB2312"/>
          <w:sz w:val="28"/>
          <w:szCs w:val="28"/>
          <w:highlight w:val="none"/>
        </w:rPr>
        <w:t>。</w:t>
      </w:r>
    </w:p>
    <w:p>
      <w:pPr>
        <w:pStyle w:val="3"/>
        <w:spacing w:before="15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4.2观测周期与频率</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本项目沉降观测周期至</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31日</w:t>
      </w:r>
      <w:r>
        <w:rPr>
          <w:rFonts w:hint="eastAsia" w:ascii="仿宋_GB2312" w:hAnsi="仿宋_GB2312" w:eastAsia="仿宋_GB2312" w:cs="仿宋_GB2312"/>
          <w:sz w:val="28"/>
          <w:szCs w:val="28"/>
        </w:rPr>
        <w:t>，具体频次要求如下：</w:t>
      </w:r>
    </w:p>
    <w:p>
      <w:pPr>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（1）日常使用过程中，1次/2月，小计</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次；</w:t>
      </w:r>
      <w:r>
        <w:rPr>
          <w:rFonts w:hint="eastAsia" w:ascii="仿宋_GB2312" w:hAnsi="仿宋_GB2312" w:eastAsia="仿宋_GB2312" w:cs="仿宋_GB2312"/>
          <w:sz w:val="28"/>
          <w:szCs w:val="28"/>
          <w:lang w:val="en-US" w:eastAsia="zh-CN"/>
        </w:rPr>
        <w:t>新建4、6、8病区</w:t>
      </w:r>
      <w:r>
        <w:rPr>
          <w:rFonts w:hint="eastAsia" w:ascii="仿宋_GB2312" w:hAnsi="仿宋_GB2312" w:eastAsia="仿宋_GB2312" w:cs="仿宋_GB2312"/>
          <w:sz w:val="28"/>
          <w:szCs w:val="28"/>
        </w:rPr>
        <w:t>1次/月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rPr>
        <w:t>小计</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次</w:t>
      </w:r>
      <w:r>
        <w:rPr>
          <w:rFonts w:hint="eastAsia" w:ascii="仿宋_GB2312" w:hAnsi="仿宋_GB2312" w:eastAsia="仿宋_GB2312" w:cs="仿宋_GB2312"/>
          <w:color w:val="auto"/>
          <w:sz w:val="28"/>
          <w:szCs w:val="28"/>
          <w:lang w:val="en-US" w:eastAsia="zh-CN"/>
        </w:rPr>
        <w:t>.</w:t>
      </w:r>
      <w:bookmarkStart w:id="25" w:name="_GoBack"/>
      <w:bookmarkEnd w:id="25"/>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进入</w:t>
      </w:r>
      <w:r>
        <w:rPr>
          <w:rFonts w:hint="eastAsia" w:ascii="仿宋_GB2312" w:hAnsi="仿宋_GB2312" w:eastAsia="仿宋_GB2312" w:cs="仿宋_GB2312"/>
          <w:sz w:val="28"/>
          <w:szCs w:val="28"/>
        </w:rPr>
        <w:t>汛期降雨后，加密观测1次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以上为暂定监测频次，速率异常及巡视出现异常时应加密观测。当沉降速率不大于1mm/100d沉降稳定标准时可停止观测。</w:t>
      </w:r>
    </w:p>
    <w:p>
      <w:pPr>
        <w:pStyle w:val="3"/>
        <w:keepLines w:val="0"/>
        <w:spacing w:before="156"/>
        <w:rPr>
          <w:rFonts w:hint="eastAsia" w:ascii="仿宋_GB2312" w:hAnsi="仿宋_GB2312" w:eastAsia="仿宋_GB2312" w:cs="仿宋_GB2312"/>
          <w:sz w:val="28"/>
          <w:szCs w:val="28"/>
        </w:rPr>
      </w:pPr>
      <w:bookmarkStart w:id="14" w:name="_Toc344300898"/>
      <w:bookmarkStart w:id="15" w:name="_Toc375246542"/>
      <w:bookmarkStart w:id="16" w:name="_Toc341709969"/>
      <w:bookmarkStart w:id="17" w:name="_Toc341339581"/>
      <w:bookmarkStart w:id="18" w:name="_Toc468864513"/>
      <w:bookmarkStart w:id="19" w:name="_Toc55293117"/>
      <w:bookmarkStart w:id="20" w:name="_Toc476062845"/>
      <w:bookmarkStart w:id="21" w:name="_Toc466908126"/>
      <w:r>
        <w:rPr>
          <w:rFonts w:hint="eastAsia" w:ascii="仿宋_GB2312" w:hAnsi="仿宋_GB2312" w:eastAsia="仿宋_GB2312" w:cs="仿宋_GB2312"/>
          <w:sz w:val="28"/>
          <w:szCs w:val="28"/>
        </w:rPr>
        <w:t>4.3观测精度</w:t>
      </w:r>
      <w:bookmarkEnd w:id="14"/>
      <w:bookmarkEnd w:id="15"/>
      <w:bookmarkEnd w:id="16"/>
      <w:bookmarkEnd w:id="17"/>
      <w:bookmarkEnd w:id="18"/>
      <w:bookmarkEnd w:id="19"/>
      <w:bookmarkEnd w:id="20"/>
      <w:bookmarkEnd w:id="21"/>
    </w:p>
    <w:p>
      <w:pPr>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根据相关规范及工程特点，各监测项目具体观测精度如表4-3-1所示：</w:t>
      </w:r>
    </w:p>
    <w:p>
      <w:pPr>
        <w:snapToGrid w:val="0"/>
        <w:ind w:firstLine="42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表4-3-1 各项监测精度</w:t>
      </w:r>
    </w:p>
    <w:tbl>
      <w:tblPr>
        <w:tblStyle w:val="7"/>
        <w:tblW w:w="8522"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88"/>
        <w:gridCol w:w="2085"/>
        <w:gridCol w:w="181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139" w:type="dxa"/>
            <w:shd w:val="clear" w:color="auto" w:fill="FFFFFF" w:themeFill="background1"/>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监测对象</w:t>
            </w:r>
          </w:p>
        </w:tc>
        <w:tc>
          <w:tcPr>
            <w:tcW w:w="3488" w:type="dxa"/>
            <w:shd w:val="clear" w:color="auto" w:fill="FFFFFF" w:themeFill="background1"/>
            <w:vAlign w:val="center"/>
          </w:tcPr>
          <w:p>
            <w:pPr>
              <w:spacing w:line="240" w:lineRule="auto"/>
              <w:ind w:firstLine="42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监测项目</w:t>
            </w:r>
          </w:p>
        </w:tc>
        <w:tc>
          <w:tcPr>
            <w:tcW w:w="2085" w:type="dxa"/>
            <w:shd w:val="clear" w:color="auto" w:fill="FFFFFF" w:themeFill="background1"/>
            <w:vAlign w:val="center"/>
          </w:tcPr>
          <w:p>
            <w:pPr>
              <w:spacing w:line="240" w:lineRule="auto"/>
              <w:ind w:firstLine="42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监测仪器</w:t>
            </w:r>
          </w:p>
        </w:tc>
        <w:tc>
          <w:tcPr>
            <w:tcW w:w="1810" w:type="dxa"/>
            <w:shd w:val="clear" w:color="auto" w:fill="FFFFFF" w:themeFill="background1"/>
            <w:vAlign w:val="center"/>
          </w:tcPr>
          <w:p>
            <w:pPr>
              <w:spacing w:line="240" w:lineRule="auto"/>
              <w:ind w:firstLine="42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监测精度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9" w:type="dxa"/>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w:t>
            </w:r>
          </w:p>
        </w:tc>
        <w:tc>
          <w:tcPr>
            <w:tcW w:w="3488" w:type="dxa"/>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建筑物沉降观测</w:t>
            </w:r>
          </w:p>
        </w:tc>
        <w:tc>
          <w:tcPr>
            <w:tcW w:w="2085" w:type="dxa"/>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水准仪</w:t>
            </w:r>
          </w:p>
        </w:tc>
        <w:tc>
          <w:tcPr>
            <w:tcW w:w="1810" w:type="dxa"/>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0.5mm</w:t>
            </w:r>
          </w:p>
        </w:tc>
      </w:tr>
    </w:tbl>
    <w:p>
      <w:pPr>
        <w:pStyle w:val="3"/>
        <w:spacing w:before="156"/>
        <w:rPr>
          <w:rFonts w:hint="eastAsia" w:ascii="仿宋_GB2312" w:hAnsi="仿宋_GB2312" w:eastAsia="仿宋_GB2312" w:cs="仿宋_GB2312"/>
          <w:sz w:val="28"/>
          <w:szCs w:val="28"/>
        </w:rPr>
      </w:pPr>
      <w:bookmarkStart w:id="22" w:name="_Toc55293118"/>
      <w:bookmarkStart w:id="23" w:name="_Toc479256259"/>
      <w:bookmarkStart w:id="24" w:name="_Toc479255936"/>
      <w:r>
        <w:rPr>
          <w:rFonts w:hint="eastAsia" w:ascii="仿宋_GB2312" w:hAnsi="仿宋_GB2312" w:eastAsia="仿宋_GB2312" w:cs="仿宋_GB2312"/>
          <w:sz w:val="28"/>
          <w:szCs w:val="28"/>
        </w:rPr>
        <w:t>4.4观测工作量</w:t>
      </w:r>
      <w:bookmarkEnd w:id="22"/>
      <w:bookmarkEnd w:id="23"/>
      <w:bookmarkEnd w:id="24"/>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根据工程特点，结合相关规范及设计文件要求，对本工程设计301个沉降观测点（其中基础及箱体226个，地表及管线75个）。</w:t>
      </w:r>
    </w:p>
    <w:p>
      <w:pPr>
        <w:pStyle w:val="2"/>
        <w:spacing w:before="120" w:after="120"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5、成果报送</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每次观测完成后及时提交沉降观测报告，全部观测任务完成后</w:t>
      </w:r>
      <w:r>
        <w:rPr>
          <w:rFonts w:hint="eastAsia" w:ascii="仿宋_GB2312" w:hAnsi="仿宋_GB2312" w:eastAsia="仿宋_GB2312" w:cs="仿宋_GB2312"/>
          <w:sz w:val="28"/>
          <w:szCs w:val="28"/>
          <w:lang w:val="en-US" w:eastAsia="zh-CN"/>
        </w:rPr>
        <w:t>10个工作日</w:t>
      </w:r>
      <w:r>
        <w:rPr>
          <w:rFonts w:hint="eastAsia" w:ascii="仿宋_GB2312" w:hAnsi="仿宋_GB2312" w:eastAsia="仿宋_GB2312" w:cs="仿宋_GB2312"/>
          <w:sz w:val="28"/>
          <w:szCs w:val="28"/>
        </w:rPr>
        <w:t>内提交最终成果报告。</w:t>
      </w:r>
    </w:p>
    <w:p>
      <w:pPr>
        <w:pStyle w:val="2"/>
        <w:spacing w:before="120" w:after="120"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6、保障措施</w:t>
      </w:r>
    </w:p>
    <w:p>
      <w:pPr>
        <w:ind w:firstLine="480"/>
        <w:rPr>
          <w:rFonts w:ascii="华文仿宋" w:hAnsi="华文仿宋" w:eastAsia="华文仿宋"/>
        </w:rPr>
      </w:pPr>
      <w:r>
        <w:rPr>
          <w:rFonts w:hint="eastAsia" w:ascii="仿宋_GB2312" w:hAnsi="仿宋_GB2312" w:eastAsia="仿宋_GB2312" w:cs="仿宋_GB2312"/>
          <w:sz w:val="28"/>
          <w:szCs w:val="28"/>
        </w:rPr>
        <w:t>质量、安全、进度保障措施符合项目管理要求。</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pict>
        <v:shape id="文本框 63"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pict>
        <v:shape id="文本框 64"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68"/>
    <w:rsid w:val="000253B8"/>
    <w:rsid w:val="00101A09"/>
    <w:rsid w:val="00106BC9"/>
    <w:rsid w:val="00116B68"/>
    <w:rsid w:val="00306FA1"/>
    <w:rsid w:val="00347C88"/>
    <w:rsid w:val="0044274D"/>
    <w:rsid w:val="0056635D"/>
    <w:rsid w:val="006C003F"/>
    <w:rsid w:val="00830B9E"/>
    <w:rsid w:val="00AD675A"/>
    <w:rsid w:val="00B00DE8"/>
    <w:rsid w:val="00CD1D17"/>
    <w:rsid w:val="00F529D9"/>
    <w:rsid w:val="00FA4E80"/>
    <w:rsid w:val="00FF1FE3"/>
    <w:rsid w:val="132C4007"/>
    <w:rsid w:val="25463F19"/>
    <w:rsid w:val="268D68C3"/>
    <w:rsid w:val="2A326893"/>
    <w:rsid w:val="35E45551"/>
    <w:rsid w:val="449648A0"/>
    <w:rsid w:val="4F3C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kern w:val="0"/>
      <w:sz w:val="24"/>
      <w:szCs w:val="20"/>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Lines="50"/>
      <w:ind w:right="964" w:firstLine="0" w:firstLineChars="0"/>
      <w:outlineLvl w:val="1"/>
    </w:pPr>
    <w:rPr>
      <w:rFonts w:eastAsiaTheme="minorEastAsia"/>
      <w:b/>
      <w:bCs/>
      <w:szCs w:val="24"/>
    </w:rPr>
  </w:style>
  <w:style w:type="paragraph" w:styleId="4">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2 Char"/>
    <w:basedOn w:val="8"/>
    <w:link w:val="3"/>
    <w:qFormat/>
    <w:uiPriority w:val="0"/>
    <w:rPr>
      <w:rFonts w:ascii="Times New Roman" w:hAnsi="Times New Roman" w:cs="Times New Roman"/>
      <w:b/>
      <w:bCs/>
      <w:kern w:val="0"/>
      <w:sz w:val="24"/>
      <w:szCs w:val="24"/>
    </w:rPr>
  </w:style>
  <w:style w:type="character" w:customStyle="1" w:styleId="12">
    <w:name w:val="标题 3 Char"/>
    <w:basedOn w:val="8"/>
    <w:link w:val="4"/>
    <w:semiHidden/>
    <w:qFormat/>
    <w:uiPriority w:val="9"/>
    <w:rPr>
      <w:rFonts w:ascii="Times New Roman" w:hAnsi="Times New Roman" w:eastAsia="宋体" w:cs="Times New Roman"/>
      <w:b/>
      <w:bCs/>
      <w:kern w:val="0"/>
      <w:sz w:val="32"/>
      <w:szCs w:val="32"/>
    </w:rPr>
  </w:style>
  <w:style w:type="character" w:customStyle="1" w:styleId="13">
    <w:name w:val="标题 1 Char"/>
    <w:basedOn w:val="8"/>
    <w:link w:val="2"/>
    <w:qFormat/>
    <w:uiPriority w:val="9"/>
    <w:rPr>
      <w:rFonts w:ascii="Times New Roman" w:hAnsi="Times New Roman" w:eastAsia="宋体" w:cs="Times New Roman"/>
      <w:b/>
      <w:bCs/>
      <w:kern w:val="44"/>
      <w:sz w:val="44"/>
      <w:szCs w:val="44"/>
    </w:rPr>
  </w:style>
  <w:style w:type="paragraph" w:customStyle="1" w:styleId="14">
    <w:name w:val="_Style 1"/>
    <w:basedOn w:val="1"/>
    <w:qFormat/>
    <w:uiPriority w:val="0"/>
    <w:pPr>
      <w:adjustRightInd/>
      <w:spacing w:line="240" w:lineRule="auto"/>
      <w:ind w:firstLine="420"/>
      <w:textAlignment w:val="auto"/>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242</Words>
  <Characters>1380</Characters>
  <Lines>11</Lines>
  <Paragraphs>3</Paragraphs>
  <TotalTime>36</TotalTime>
  <ScaleCrop>false</ScaleCrop>
  <LinksUpToDate>false</LinksUpToDate>
  <CharactersWithSpaces>1619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2021-08-20T06:38:00Z</dcterms:created>
  <dc:creator>admin</dc:creator>
  <cp:lastModifiedBy>xtsyy</cp:lastModifiedBy>
  <dcterms:modified xsi:type="dcterms:W3CDTF">2025-07-11T02:51:07Z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6F314C615A2B42AB9EA7A65BADB585DE</vt:lpwstr>
  </property>
</Properties>
</file>