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sz w:val="28"/>
          <w:szCs w:val="28"/>
        </w:rPr>
        <w:t>超声波细胞破碎仪</w:t>
      </w:r>
    </w:p>
    <w:bookmarkEnd w:id="0"/>
    <w:p>
      <w:pPr>
        <w:spacing w:line="440" w:lineRule="exact"/>
        <w:jc w:val="both"/>
        <w:rPr>
          <w:rFonts w:ascii="Times New Roman" w:hAnsi="Times New Roman" w:eastAsia="仿宋"/>
          <w:b/>
          <w:bCs/>
        </w:rPr>
      </w:pPr>
      <w:r>
        <w:rPr>
          <w:rFonts w:ascii="Times New Roman" w:hAnsi="Times New Roman" w:eastAsia="仿宋"/>
          <w:b/>
          <w:bCs/>
        </w:rPr>
        <w:t>一、</w:t>
      </w:r>
      <w:r>
        <w:rPr>
          <w:rFonts w:hint="eastAsia" w:ascii="Times New Roman" w:hAnsi="Times New Roman" w:eastAsia="仿宋"/>
          <w:b/>
          <w:bCs/>
        </w:rPr>
        <w:t>主要技术参数和配置</w:t>
      </w:r>
    </w:p>
    <w:p>
      <w:pPr>
        <w:spacing w:line="440" w:lineRule="exact"/>
        <w:jc w:val="both"/>
        <w:rPr>
          <w:rFonts w:ascii="Times New Roman" w:hAnsi="Times New Roman" w:eastAsia="仿宋"/>
          <w:b/>
          <w:bCs/>
        </w:rPr>
      </w:pPr>
      <w:r>
        <w:rPr>
          <w:rFonts w:hint="eastAsia" w:ascii="Times New Roman" w:hAnsi="Times New Roman" w:eastAsia="仿宋"/>
          <w:b/>
          <w:bCs/>
        </w:rPr>
        <w:t>1.</w:t>
      </w:r>
      <w:r>
        <w:rPr>
          <w:rFonts w:hint="eastAsia" w:ascii="Times New Roman" w:hAnsi="Times New Roman" w:eastAsia="仿宋"/>
          <w:b/>
          <w:bCs/>
        </w:rPr>
        <w:tab/>
      </w:r>
      <w:r>
        <w:rPr>
          <w:rFonts w:hint="eastAsia" w:ascii="Times New Roman" w:hAnsi="Times New Roman" w:eastAsia="仿宋"/>
          <w:b/>
          <w:bCs/>
        </w:rPr>
        <w:t>换能器组件：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1.1.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具有自动振幅和脉冲补偿功能，可维持实验过程超声频率稳定，确保探头振幅不因承载变化而变化。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Times New Roman" w:hAnsi="Times New Roman" w:eastAsia="仿宋"/>
        </w:rPr>
        <w:t>1.2.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超声探头采用TC4钛合金材质，独有的材料锻造工艺，能量转换效率高，探头可靠耐磨。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1.3.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超声频率：20-25 KHz，自动追频，自适应。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1.4.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超声功率：1000 W（20 W-1000 W可调），功率可调，调节幅度≥1%。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1.5.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处理容量为100μl - 600 ml，配6 mm、2 mm、10 mm变幅杆，满足不同处理对象和处理量需求。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▲1.6.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 xml:space="preserve">高变幅比换能器，最大功率工作状态下，6 mm变幅杆振幅不低于80 </w:t>
      </w:r>
      <w:r>
        <w:rPr>
          <w:rFonts w:ascii="Times New Roman" w:hAnsi="Times New Roman" w:eastAsia="仿宋" w:cs="Times New Roman"/>
        </w:rPr>
        <w:t>µ</w:t>
      </w:r>
      <w:r>
        <w:rPr>
          <w:rFonts w:hint="eastAsia" w:ascii="Times New Roman" w:hAnsi="Times New Roman" w:eastAsia="仿宋"/>
        </w:rPr>
        <w:t>m。</w:t>
      </w:r>
    </w:p>
    <w:p>
      <w:pPr>
        <w:spacing w:line="440" w:lineRule="exact"/>
        <w:jc w:val="both"/>
        <w:rPr>
          <w:rFonts w:ascii="Times New Roman" w:hAnsi="Times New Roman" w:eastAsia="仿宋"/>
          <w:b/>
          <w:bCs/>
        </w:rPr>
      </w:pPr>
      <w:r>
        <w:rPr>
          <w:rFonts w:hint="eastAsia" w:ascii="Times New Roman" w:hAnsi="Times New Roman" w:eastAsia="仿宋"/>
          <w:b/>
          <w:bCs/>
        </w:rPr>
        <w:t>2.</w:t>
      </w:r>
      <w:r>
        <w:rPr>
          <w:rFonts w:hint="eastAsia" w:ascii="Times New Roman" w:hAnsi="Times New Roman" w:eastAsia="仿宋"/>
          <w:b/>
          <w:bCs/>
        </w:rPr>
        <w:tab/>
      </w:r>
      <w:r>
        <w:rPr>
          <w:rFonts w:hint="eastAsia" w:ascii="Times New Roman" w:hAnsi="Times New Roman" w:eastAsia="仿宋"/>
          <w:b/>
          <w:bCs/>
        </w:rPr>
        <w:t>主机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2.1.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采用最新的超声电源控制技术，可实现连续不间断超声，自动追踪频率及自动谐振点，占空比可实现0.1-99.9%调节。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2.2.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采用7寸TFT触摸屏，可实现时间、温度、功率及连续模式和间隙模式显示，实时显示工作参数，运行状态倒计时显示，整体UI设计简约，操作便捷直观。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2.3.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可选择连续超声模式以及间隙性超声模式两种模式，并带有测试功能，满足不同强度不同需求的实验场景。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2.4.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连续超声模式下，超声时间不少999 min；间隙模式下，具备开/关秒冲定时器，超声时间可设置0.1-99.9 s，间隙时间可设置0.1-99.9 s，总时间（间隙+超声）可设置时间见不少于999 min。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2.5.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具备智能微处理控制系统，可存储20组的工作预设程序，满足不同的实验条件与场景，快速实验。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Times New Roman" w:hAnsi="Times New Roman" w:eastAsia="仿宋"/>
        </w:rPr>
        <w:t>2.6.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具备阻抗异常报警、功率保护、负载异常、频率保护、定时报警、温度保护和温度自恢复工作功能。</w:t>
      </w:r>
    </w:p>
    <w:p>
      <w:pPr>
        <w:spacing w:line="440" w:lineRule="exact"/>
        <w:jc w:val="both"/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Times New Roman" w:hAnsi="Times New Roman" w:eastAsia="仿宋"/>
        </w:rPr>
        <w:t>2.7.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标配分体式遥控器，配对连接超声主机和隔音箱可控制超声开关及升降台高度。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b/>
          <w:bCs/>
        </w:rPr>
        <w:t>3.</w:t>
      </w:r>
      <w:r>
        <w:rPr>
          <w:rFonts w:hint="eastAsia" w:ascii="Times New Roman" w:hAnsi="Times New Roman" w:eastAsia="仿宋"/>
        </w:rPr>
        <w:tab/>
      </w:r>
      <w:r>
        <w:rPr>
          <w:rFonts w:hint="eastAsia" w:ascii="Times New Roman" w:hAnsi="Times New Roman" w:eastAsia="仿宋"/>
        </w:rPr>
        <w:t>标配带照明功能的智能升降隔音箱，采用钣金、喷塑、ABS材质，模具化设计。隔音箱内置隔音棉，配置可视化视窗观察反应过程，同时可紧急开箱处理，易清洁且有效降低工作过程噪音影响。</w:t>
      </w:r>
    </w:p>
    <w:p>
      <w:pPr>
        <w:spacing w:line="440" w:lineRule="exact"/>
        <w:jc w:val="both"/>
        <w:rPr>
          <w:rFonts w:ascii="Times New Roman" w:hAnsi="Times New Roman" w:eastAsia="仿宋"/>
          <w:b/>
          <w:bCs/>
        </w:rPr>
      </w:pPr>
      <w:r>
        <w:rPr>
          <w:rFonts w:hint="eastAsia" w:ascii="Times New Roman" w:hAnsi="Times New Roman" w:eastAsia="仿宋"/>
          <w:b/>
          <w:bCs/>
        </w:rPr>
        <w:t>二、配置清单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主机1台；</w:t>
      </w:r>
    </w:p>
    <w:p>
      <w:pPr>
        <w:spacing w:line="44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 w:cs="仿宋_GB2312"/>
          <w:szCs w:val="21"/>
          <w:lang w:eastAsia="zh-Hans"/>
        </w:rPr>
        <w:t>换能器及钛合金探头1套</w:t>
      </w:r>
      <w:r>
        <w:rPr>
          <w:rFonts w:hint="eastAsia" w:ascii="Times New Roman" w:hAnsi="Times New Roman" w:eastAsia="仿宋" w:cs="仿宋_GB2312"/>
          <w:szCs w:val="21"/>
        </w:rPr>
        <w:t>；</w:t>
      </w:r>
    </w:p>
    <w:p>
      <w:pPr>
        <w:spacing w:line="440" w:lineRule="exact"/>
        <w:jc w:val="both"/>
        <w:rPr>
          <w:rFonts w:ascii="Times New Roman" w:hAnsi="Times New Roman" w:eastAsia="仿宋" w:cs="仿宋_GB2312"/>
          <w:szCs w:val="21"/>
        </w:rPr>
      </w:pPr>
      <w:r>
        <w:rPr>
          <w:rFonts w:hint="eastAsia" w:ascii="Times New Roman" w:hAnsi="Times New Roman" w:eastAsia="仿宋"/>
        </w:rPr>
        <w:t>隔音箱 1台；</w:t>
      </w:r>
    </w:p>
    <w:p>
      <w:pPr>
        <w:spacing w:line="440" w:lineRule="exact"/>
        <w:jc w:val="both"/>
        <w:rPr>
          <w:rFonts w:ascii="Times New Roman" w:hAnsi="Times New Roman" w:eastAsia="仿宋" w:cs="仿宋_GB2312"/>
          <w:szCs w:val="21"/>
        </w:rPr>
      </w:pPr>
      <w:r>
        <w:rPr>
          <w:rFonts w:hint="eastAsia" w:ascii="Times New Roman" w:hAnsi="Times New Roman" w:eastAsia="仿宋" w:cs="仿宋_GB2312"/>
          <w:szCs w:val="21"/>
        </w:rPr>
        <w:t>变幅杆3只：</w:t>
      </w:r>
      <w:r>
        <w:rPr>
          <w:rFonts w:hint="eastAsia" w:ascii="Times New Roman" w:hAnsi="Times New Roman" w:eastAsia="仿宋"/>
        </w:rPr>
        <w:t>2 mm、6 mm和10 mm；</w:t>
      </w:r>
    </w:p>
    <w:p>
      <w:pPr>
        <w:spacing w:line="440" w:lineRule="exact"/>
        <w:jc w:val="both"/>
        <w:rPr>
          <w:rFonts w:ascii="Times New Roman" w:hAnsi="Times New Roman" w:eastAsia="仿宋" w:cs="仿宋_GB2312"/>
          <w:szCs w:val="21"/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专用工具包1套</w:t>
      </w:r>
      <w:r>
        <w:rPr>
          <w:rFonts w:hint="eastAsia" w:ascii="Times New Roman" w:hAnsi="Times New Roman" w:eastAsia="仿宋" w:cs="仿宋_GB2312"/>
          <w:szCs w:val="21"/>
        </w:rPr>
        <w:t>；</w:t>
      </w:r>
    </w:p>
    <w:p>
      <w:pPr>
        <w:spacing w:line="440" w:lineRule="exact"/>
        <w:jc w:val="both"/>
        <w:rPr>
          <w:rFonts w:ascii="Times New Roman" w:hAnsi="Times New Roman" w:eastAsia="仿宋" w:cs="仿宋_GB2312"/>
          <w:szCs w:val="21"/>
        </w:rPr>
      </w:pPr>
      <w:r>
        <w:rPr>
          <w:rFonts w:hint="eastAsia" w:ascii="Times New Roman" w:hAnsi="Times New Roman" w:eastAsia="仿宋" w:cs="仿宋_GB2312"/>
          <w:szCs w:val="21"/>
        </w:rPr>
        <w:t>温度探头1个。</w:t>
      </w:r>
    </w:p>
    <w:p>
      <w:pPr>
        <w:spacing w:line="440" w:lineRule="exact"/>
        <w:jc w:val="both"/>
        <w:rPr>
          <w:rFonts w:ascii="Times New Roman" w:hAnsi="Times New Roman" w:eastAsia="仿宋" w:cs="仿宋_GB2312"/>
          <w:szCs w:val="21"/>
        </w:rPr>
      </w:pPr>
      <w:r>
        <w:rPr>
          <w:rFonts w:hint="eastAsia" w:ascii="Times New Roman" w:hAnsi="Times New Roman" w:eastAsia="仿宋" w:cs="仿宋_GB2312"/>
          <w:szCs w:val="21"/>
          <w:lang w:eastAsia="zh-CN"/>
        </w:rPr>
        <w:t>三、预算：2.1万</w:t>
      </w:r>
      <w:r>
        <w:rPr>
          <w:rFonts w:hint="eastAsia" w:ascii="Times New Roman" w:hAnsi="Times New Roman" w:eastAsia="仿宋" w:cs="仿宋_GB2312"/>
          <w:szCs w:val="21"/>
        </w:rPr>
        <w:t xml:space="preserve">                                               </w:t>
      </w:r>
    </w:p>
    <w:p>
      <w:pPr>
        <w:spacing w:line="440" w:lineRule="exact"/>
        <w:jc w:val="both"/>
        <w:rPr>
          <w:rFonts w:hint="eastAsia" w:eastAsia="仿宋"/>
          <w:lang w:eastAsia="zh-CN"/>
        </w:rPr>
      </w:pPr>
      <w:r>
        <w:rPr>
          <w:rFonts w:hint="eastAsia" w:ascii="Times New Roman" w:hAnsi="Times New Roman" w:eastAsia="仿宋" w:cs="仿宋_GB2312"/>
          <w:szCs w:val="21"/>
        </w:rPr>
        <w:t xml:space="preserve"> </w:t>
      </w:r>
      <w:r>
        <w:rPr>
          <w:rFonts w:hint="eastAsia" w:ascii="Times New Roman" w:hAnsi="Times New Roman" w:eastAsia="仿宋" w:cs="仿宋_GB2312"/>
          <w:szCs w:val="21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 w:eastAsia="仿宋" w:cs="仿宋_GB2312"/>
          <w:szCs w:val="21"/>
          <w:lang w:eastAsia="zh-CN"/>
        </w:rPr>
        <w:t>北京小汤山医院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794" w:footer="1077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265546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ind w:firstLine="36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ind w:firstLine="360"/>
      <w:jc w:val="right"/>
      <w:rPr>
        <w:rFonts w:hint="eastAsia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20"/>
      <w:jc w:val="right"/>
      <w:rPr>
        <w:rFonts w:hint="eastAsia"/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4546A" w:themeColor="text2"/>
        <w14:textFill>
          <w14:solidFill>
            <w14:schemeClr w14:val="tx2"/>
          </w14:solidFill>
        </w14:textFill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20"/>
  <w:drawingGridVerticalSpacing w:val="42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NTY3ZTdmMjMxMWYxNGE0ZDEzYTBkZGJhNjhhM2EifQ=="/>
  </w:docVars>
  <w:rsids>
    <w:rsidRoot w:val="00FA12CC"/>
    <w:rsid w:val="00027510"/>
    <w:rsid w:val="000809B2"/>
    <w:rsid w:val="00084985"/>
    <w:rsid w:val="000C7409"/>
    <w:rsid w:val="00105B8E"/>
    <w:rsid w:val="001422D1"/>
    <w:rsid w:val="0018301C"/>
    <w:rsid w:val="00220E5D"/>
    <w:rsid w:val="002C0B14"/>
    <w:rsid w:val="002E2B2F"/>
    <w:rsid w:val="003034FD"/>
    <w:rsid w:val="00377C0E"/>
    <w:rsid w:val="00391ED3"/>
    <w:rsid w:val="003C6765"/>
    <w:rsid w:val="00402B2F"/>
    <w:rsid w:val="004477CA"/>
    <w:rsid w:val="004D3342"/>
    <w:rsid w:val="00506E42"/>
    <w:rsid w:val="00544770"/>
    <w:rsid w:val="00576BE9"/>
    <w:rsid w:val="00590721"/>
    <w:rsid w:val="005C738E"/>
    <w:rsid w:val="00611FF1"/>
    <w:rsid w:val="00633A30"/>
    <w:rsid w:val="00667C16"/>
    <w:rsid w:val="006D579F"/>
    <w:rsid w:val="007063F9"/>
    <w:rsid w:val="00714932"/>
    <w:rsid w:val="007346C1"/>
    <w:rsid w:val="00742A15"/>
    <w:rsid w:val="007457A3"/>
    <w:rsid w:val="007A18A4"/>
    <w:rsid w:val="007E4564"/>
    <w:rsid w:val="00832EBF"/>
    <w:rsid w:val="00833FD6"/>
    <w:rsid w:val="0083486F"/>
    <w:rsid w:val="00842A48"/>
    <w:rsid w:val="00894972"/>
    <w:rsid w:val="008E6AF0"/>
    <w:rsid w:val="008F37E2"/>
    <w:rsid w:val="00902E47"/>
    <w:rsid w:val="009048CC"/>
    <w:rsid w:val="00904CA7"/>
    <w:rsid w:val="009676FC"/>
    <w:rsid w:val="00976954"/>
    <w:rsid w:val="00983232"/>
    <w:rsid w:val="00994D5F"/>
    <w:rsid w:val="009F32B4"/>
    <w:rsid w:val="00A204F1"/>
    <w:rsid w:val="00A3625A"/>
    <w:rsid w:val="00A37AB8"/>
    <w:rsid w:val="00A6597C"/>
    <w:rsid w:val="00A67336"/>
    <w:rsid w:val="00B066DE"/>
    <w:rsid w:val="00B0785C"/>
    <w:rsid w:val="00B50575"/>
    <w:rsid w:val="00B94A04"/>
    <w:rsid w:val="00BB0B03"/>
    <w:rsid w:val="00BF0763"/>
    <w:rsid w:val="00C06D58"/>
    <w:rsid w:val="00C33D0D"/>
    <w:rsid w:val="00C35E40"/>
    <w:rsid w:val="00C655A0"/>
    <w:rsid w:val="00D259E5"/>
    <w:rsid w:val="00D331E3"/>
    <w:rsid w:val="00D4363E"/>
    <w:rsid w:val="00D64C28"/>
    <w:rsid w:val="00D86E61"/>
    <w:rsid w:val="00DA1AEC"/>
    <w:rsid w:val="00DB5416"/>
    <w:rsid w:val="00E44668"/>
    <w:rsid w:val="00E85D89"/>
    <w:rsid w:val="00EA31D6"/>
    <w:rsid w:val="00EE5038"/>
    <w:rsid w:val="00F23E79"/>
    <w:rsid w:val="00F51188"/>
    <w:rsid w:val="00FA12CC"/>
    <w:rsid w:val="00FB14BA"/>
    <w:rsid w:val="120C4982"/>
    <w:rsid w:val="1A332964"/>
    <w:rsid w:val="1B9D7637"/>
    <w:rsid w:val="257F6922"/>
    <w:rsid w:val="27251983"/>
    <w:rsid w:val="2F446C5C"/>
    <w:rsid w:val="30CF479C"/>
    <w:rsid w:val="321535AD"/>
    <w:rsid w:val="37FD3880"/>
    <w:rsid w:val="3A7C062A"/>
    <w:rsid w:val="3D814337"/>
    <w:rsid w:val="5EDA01BB"/>
    <w:rsid w:val="66507D3E"/>
    <w:rsid w:val="72160E6A"/>
    <w:rsid w:val="78E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widowControl w:val="0"/>
      <w:spacing w:line="360" w:lineRule="auto"/>
      <w:ind w:left="28" w:leftChars="-51" w:hanging="135" w:hangingChars="4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widowControl w:val="0"/>
      <w:spacing w:before="260" w:after="260" w:line="416" w:lineRule="auto"/>
      <w:ind w:firstLine="200" w:firstLineChars="200"/>
      <w:jc w:val="both"/>
      <w:outlineLvl w:val="1"/>
    </w:pPr>
    <w:rPr>
      <w:rFonts w:eastAsia="Songti SC" w:asciiTheme="majorHAnsi" w:hAnsiTheme="majorHAnsi" w:cstheme="majorBidi"/>
      <w:b/>
      <w:bCs/>
      <w:color w:val="00ACAC"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ind w:firstLine="200" w:firstLineChars="20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占位符文本1"/>
    <w:basedOn w:val="8"/>
    <w:semiHidden/>
    <w:qFormat/>
    <w:uiPriority w:val="99"/>
    <w:rPr>
      <w:color w:val="808080"/>
    </w:rPr>
  </w:style>
  <w:style w:type="character" w:customStyle="1" w:styleId="14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color w:val="000000"/>
      <w:sz w:val="32"/>
      <w:szCs w:val="20"/>
    </w:rPr>
  </w:style>
  <w:style w:type="character" w:customStyle="1" w:styleId="15">
    <w:name w:val="标题 2 字符"/>
    <w:basedOn w:val="8"/>
    <w:link w:val="3"/>
    <w:qFormat/>
    <w:uiPriority w:val="9"/>
    <w:rPr>
      <w:rFonts w:eastAsia="Songti SC" w:asciiTheme="majorHAnsi" w:hAnsiTheme="majorHAnsi" w:cstheme="majorBidi"/>
      <w:b/>
      <w:bCs/>
      <w:color w:val="00ACAC"/>
      <w:sz w:val="28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A6DC0-6A33-4218-A47C-BA20DC15DC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878</Characters>
  <Lines>7</Lines>
  <Paragraphs>2</Paragraphs>
  <TotalTime>39</TotalTime>
  <ScaleCrop>false</ScaleCrop>
  <LinksUpToDate>false</LinksUpToDate>
  <CharactersWithSpaces>1030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2025-07-15T10:31:00Z</dcterms:created>
  <dc:creator>高莉</dc:creator>
  <cp:lastModifiedBy>高莉</cp:lastModifiedBy>
  <cp:lastPrinted>2019-10-17T06:15:00Z</cp:lastPrinted>
  <dcterms:modified xsi:type="dcterms:W3CDTF">2025-07-22T00:41:05Z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FCF59FF4E52E48E8A0566F1FD0EEDA60</vt:lpwstr>
  </property>
</Properties>
</file>