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2"/>
          <w:numId w:val="0"/>
        </w:numPr>
        <w:ind w:firstLine="3001" w:firstLineChars="1000"/>
        <w:jc w:val="both"/>
        <w:rPr>
          <w:rFonts w:hint="default" w:hAnsi="宋体"/>
          <w:color w:val="B2A1C7"/>
          <w:sz w:val="30"/>
          <w:szCs w:val="30"/>
          <w:lang w:val="en-US" w:eastAsia="zh-CN"/>
        </w:rPr>
      </w:pPr>
      <w:r>
        <w:rPr>
          <w:rFonts w:hint="eastAsia"/>
          <w:color w:val="auto"/>
          <w:sz w:val="30"/>
          <w:szCs w:val="30"/>
          <w:lang w:val="en-US" w:eastAsia="zh-CN"/>
        </w:rPr>
        <w:t>灭火器年检</w:t>
      </w:r>
      <w:r>
        <w:rPr>
          <w:color w:val="auto"/>
          <w:sz w:val="30"/>
          <w:szCs w:val="30"/>
        </w:rPr>
        <w:t>技术</w:t>
      </w:r>
      <w:r>
        <w:rPr>
          <w:rFonts w:hint="eastAsia"/>
          <w:color w:val="auto"/>
          <w:sz w:val="30"/>
          <w:szCs w:val="30"/>
          <w:lang w:val="en-US" w:eastAsia="zh-CN"/>
        </w:rPr>
        <w:t>服务</w:t>
      </w:r>
      <w:r>
        <w:rPr>
          <w:rFonts w:hint="eastAsia"/>
          <w:color w:val="auto"/>
          <w:sz w:val="30"/>
          <w:szCs w:val="30"/>
        </w:rPr>
        <w:t>需求</w:t>
      </w:r>
    </w:p>
    <w:p>
      <w:pPr>
        <w:autoSpaceDE w:val="0"/>
        <w:autoSpaceDN w:val="0"/>
        <w:adjustRightInd w:val="0"/>
        <w:spacing w:before="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供应商应按照采购人的相关约定提供灭火器年检维修，服务标准应达到现行有效的国家、北京市或行业技术规范。</w:t>
      </w:r>
    </w:p>
    <w:p>
      <w:pPr>
        <w:autoSpaceDE w:val="0"/>
        <w:autoSpaceDN w:val="0"/>
        <w:adjustRightInd w:val="0"/>
        <w:spacing w:before="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供应商在检测过程中应有保护采购人工作场所内所有人员的安全保障措施。</w:t>
      </w:r>
    </w:p>
    <w:p>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在提供服务过程中不应影响采购人正常的生产经营活动。</w:t>
      </w:r>
    </w:p>
    <w:p>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应针对本项目服务过程中可能发生的意外事件、事故制定专项应急处置方案。</w:t>
      </w:r>
    </w:p>
    <w:p>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工作人员在灭火器搬运、装卸、运输、检测和摆放过程中应有安全保障措施。</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6、供应商应在10至15个工作日（节假日含在内）内完成灭火器检验、维修。摆放灭火器必须按照原放置点位灭火器品牌、型号摆放回原位。</w:t>
      </w:r>
    </w:p>
    <w:p>
      <w:pPr>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在灭火器搬运过程中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如对采购人的</w:t>
      </w:r>
      <w:r>
        <w:rPr>
          <w:rFonts w:hint="eastAsia" w:ascii="宋体" w:hAnsi="宋体" w:eastAsia="宋体" w:cs="宋体"/>
          <w:color w:val="auto"/>
          <w:sz w:val="28"/>
          <w:szCs w:val="28"/>
          <w:lang w:eastAsia="zh-CN"/>
        </w:rPr>
        <w:t>建筑物</w:t>
      </w:r>
      <w:r>
        <w:rPr>
          <w:rFonts w:hint="eastAsia" w:ascii="宋体" w:hAnsi="宋体" w:eastAsia="宋体" w:cs="宋体"/>
          <w:color w:val="auto"/>
          <w:sz w:val="28"/>
          <w:szCs w:val="28"/>
        </w:rPr>
        <w:t>内</w:t>
      </w:r>
      <w:r>
        <w:rPr>
          <w:rFonts w:hint="eastAsia" w:ascii="宋体" w:hAnsi="宋体" w:eastAsia="宋体" w:cs="宋体"/>
          <w:color w:val="auto"/>
          <w:sz w:val="28"/>
          <w:szCs w:val="28"/>
          <w:lang w:eastAsia="zh-CN"/>
        </w:rPr>
        <w:t>工作</w:t>
      </w:r>
      <w:r>
        <w:rPr>
          <w:rFonts w:hint="eastAsia" w:ascii="宋体" w:hAnsi="宋体" w:eastAsia="宋体" w:cs="宋体"/>
          <w:color w:val="auto"/>
          <w:sz w:val="28"/>
          <w:szCs w:val="28"/>
        </w:rPr>
        <w:t>人员的办公</w:t>
      </w:r>
      <w:r>
        <w:rPr>
          <w:rFonts w:hint="eastAsia" w:ascii="宋体" w:hAnsi="宋体" w:eastAsia="宋体" w:cs="宋体"/>
          <w:color w:val="auto"/>
          <w:sz w:val="28"/>
          <w:szCs w:val="28"/>
          <w:lang w:eastAsia="zh-CN"/>
        </w:rPr>
        <w:t>、医疗秩序等</w:t>
      </w:r>
      <w:r>
        <w:rPr>
          <w:rFonts w:hint="eastAsia" w:ascii="宋体" w:hAnsi="宋体" w:eastAsia="宋体" w:cs="宋体"/>
          <w:color w:val="auto"/>
          <w:sz w:val="28"/>
          <w:szCs w:val="28"/>
        </w:rPr>
        <w:t>产生影响，应</w:t>
      </w:r>
      <w:r>
        <w:rPr>
          <w:rFonts w:hint="eastAsia" w:ascii="宋体" w:hAnsi="宋体" w:eastAsia="宋体" w:cs="宋体"/>
          <w:color w:val="auto"/>
          <w:sz w:val="28"/>
          <w:szCs w:val="28"/>
          <w:lang w:eastAsia="zh-CN"/>
        </w:rPr>
        <w:t>采取相应措施，</w:t>
      </w:r>
      <w:r>
        <w:rPr>
          <w:rFonts w:hint="eastAsia" w:ascii="宋体" w:hAnsi="宋体" w:eastAsia="宋体" w:cs="宋体"/>
          <w:color w:val="auto"/>
          <w:sz w:val="28"/>
          <w:szCs w:val="28"/>
        </w:rPr>
        <w:t>尽量保障</w:t>
      </w:r>
      <w:r>
        <w:rPr>
          <w:rFonts w:hint="eastAsia" w:ascii="宋体" w:hAnsi="宋体" w:eastAsia="宋体" w:cs="宋体"/>
          <w:color w:val="auto"/>
          <w:sz w:val="28"/>
          <w:szCs w:val="28"/>
          <w:lang w:eastAsia="zh-CN"/>
        </w:rPr>
        <w:t>工作区域内</w:t>
      </w:r>
      <w:r>
        <w:rPr>
          <w:rFonts w:hint="eastAsia" w:ascii="宋体" w:hAnsi="宋体" w:eastAsia="宋体" w:cs="宋体"/>
          <w:color w:val="auto"/>
          <w:sz w:val="28"/>
          <w:szCs w:val="28"/>
        </w:rPr>
        <w:t>人员的正常办公</w:t>
      </w:r>
      <w:r>
        <w:rPr>
          <w:rFonts w:hint="eastAsia" w:ascii="宋体" w:hAnsi="宋体" w:eastAsia="宋体" w:cs="宋体"/>
          <w:color w:val="auto"/>
          <w:sz w:val="28"/>
          <w:szCs w:val="28"/>
          <w:lang w:eastAsia="zh-CN"/>
        </w:rPr>
        <w:t>、维护医疗秩序</w:t>
      </w:r>
      <w:r>
        <w:rPr>
          <w:rFonts w:hint="eastAsia" w:ascii="宋体" w:hAnsi="宋体" w:eastAsia="宋体" w:cs="宋体"/>
          <w:color w:val="auto"/>
          <w:sz w:val="28"/>
          <w:szCs w:val="28"/>
        </w:rPr>
        <w:t>。</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8、供应商不得将本合同的内容进行转包或分包，供应商擅自转包、分包的，采购方有权单方解除合同，且供应商需向采购方赔偿由此给采购方造成的全部损失。</w:t>
      </w:r>
    </w:p>
    <w:p>
      <w:pPr>
        <w:spacing w:line="360" w:lineRule="auto"/>
        <w:ind w:firstLine="560" w:firstLineChars="200"/>
        <w:jc w:val="left"/>
        <w:rPr>
          <w:rFonts w:hint="default"/>
          <w:lang w:val="en-US" w:eastAsia="zh-CN"/>
        </w:rPr>
      </w:pPr>
      <w:r>
        <w:rPr>
          <w:rFonts w:hint="eastAsia" w:ascii="宋体" w:hAnsi="宋体" w:eastAsia="宋体" w:cs="宋体"/>
          <w:color w:val="auto"/>
          <w:sz w:val="28"/>
          <w:szCs w:val="28"/>
          <w:lang w:val="en-US" w:eastAsia="zh-CN"/>
        </w:rPr>
        <w:t>9、如遇上级政策调整或其他不可抗力影响导致合同无法履行，自知悉一方通知对方之日起合同自动终止，双方依据已履行的义务办理结算。乙方未履约的相应合同款应自合同终止之日起10个工作日内退还甲方。</w:t>
      </w:r>
    </w:p>
    <w:p>
      <w:pPr>
        <w:spacing w:line="360" w:lineRule="auto"/>
        <w:ind w:firstLine="560"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10、灭火器明细表如下：</w:t>
      </w:r>
    </w:p>
    <w:p>
      <w:pPr>
        <w:pStyle w:val="2"/>
        <w:rPr>
          <w:rFonts w:hint="eastAsia" w:ascii="宋体" w:hAnsi="宋体" w:eastAsia="宋体" w:cs="宋体"/>
          <w:color w:val="auto"/>
          <w:sz w:val="28"/>
          <w:szCs w:val="28"/>
          <w:lang w:val="en-US" w:eastAsia="zh-CN"/>
        </w:rPr>
      </w:pPr>
    </w:p>
    <w:p>
      <w:pPr>
        <w:rPr>
          <w:rFonts w:hint="default"/>
          <w:lang w:val="en-US" w:eastAsia="zh-CN"/>
        </w:rPr>
      </w:pPr>
    </w:p>
    <w:tbl>
      <w:tblPr>
        <w:tblStyle w:val="8"/>
        <w:tblpPr w:leftFromText="180" w:rightFromText="180" w:vertAnchor="text" w:horzAnchor="page" w:tblpX="521" w:tblpY="981"/>
        <w:tblOverlap w:val="never"/>
        <w:tblW w:w="10580" w:type="dxa"/>
        <w:tblCellSpacing w:w="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5960"/>
        <w:gridCol w:w="46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Ex>
        <w:trPr>
          <w:trHeight w:val="540" w:hRule="atLeast"/>
          <w:tblCellSpacing w:w="0" w:type="dxa"/>
        </w:trPr>
        <w:tc>
          <w:tcPr>
            <w:tcW w:w="5960" w:type="dxa"/>
            <w:tcBorders>
              <w:tl2br w:val="nil"/>
              <w:tr2bl w:val="nil"/>
            </w:tcBorders>
            <w:shd w:val="clear" w:color="auto" w:fill="auto"/>
            <w:tcMar>
              <w:top w:w="20" w:type="dxa"/>
              <w:left w:w="20" w:type="dxa"/>
              <w:bottom w:w="72" w:type="dxa"/>
              <w:right w:w="20" w:type="dxa"/>
            </w:tcMar>
            <w:vAlign w:val="center"/>
          </w:tcPr>
          <w:p>
            <w:pPr>
              <w:pStyle w:val="6"/>
              <w:keepNext w:val="0"/>
              <w:keepLines w:val="0"/>
              <w:widowControl/>
              <w:suppressLineNumbers w:val="0"/>
              <w:jc w:val="center"/>
            </w:pPr>
            <w:r>
              <w:rPr>
                <w:rFonts w:ascii="Arial" w:hAnsi="Arial" w:cs="Arial"/>
                <w:b/>
                <w:color w:val="000000"/>
                <w:sz w:val="24"/>
                <w:szCs w:val="24"/>
              </w:rPr>
              <w:t>灭火器名称/规格</w:t>
            </w:r>
          </w:p>
        </w:tc>
        <w:tc>
          <w:tcPr>
            <w:tcW w:w="4620" w:type="dxa"/>
            <w:tcBorders>
              <w:tl2br w:val="nil"/>
              <w:tr2bl w:val="nil"/>
            </w:tcBorders>
            <w:shd w:val="clear" w:color="auto" w:fill="auto"/>
            <w:tcMar>
              <w:top w:w="20" w:type="dxa"/>
              <w:left w:w="20" w:type="dxa"/>
              <w:bottom w:w="72" w:type="dxa"/>
              <w:right w:w="20" w:type="dxa"/>
            </w:tcMar>
            <w:vAlign w:val="center"/>
          </w:tcPr>
          <w:p>
            <w:pPr>
              <w:pStyle w:val="6"/>
              <w:keepNext w:val="0"/>
              <w:keepLines w:val="0"/>
              <w:widowControl/>
              <w:suppressLineNumbers w:val="0"/>
              <w:jc w:val="center"/>
            </w:pPr>
            <w:r>
              <w:rPr>
                <w:rFonts w:hint="default" w:ascii="Arial" w:hAnsi="Arial" w:cs="Arial"/>
                <w:b/>
                <w:color w:val="000000"/>
                <w:sz w:val="24"/>
                <w:szCs w:val="24"/>
              </w:rPr>
              <w:t>数量（具）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ascii="仿宋_GB2312" w:eastAsia="仿宋_GB2312" w:cs="仿宋_GB2312"/>
                <w:color w:val="000000"/>
                <w:sz w:val="24"/>
                <w:szCs w:val="24"/>
              </w:rPr>
              <w:t>干粉灭火器</w:t>
            </w:r>
            <w:r>
              <w:rPr>
                <w:rFonts w:hint="default" w:ascii="仿宋_GB2312" w:eastAsia="仿宋_GB2312" w:cs="仿宋_GB2312"/>
                <w:color w:val="000000"/>
                <w:sz w:val="24"/>
                <w:szCs w:val="24"/>
              </w:rPr>
              <w:t>5Kg</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3247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干粉灭火器35Kg推车</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二氧化碳灭火器3Kg</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bookmarkStart w:id="0" w:name="_GoBack"/>
            <w:bookmarkEnd w:id="0"/>
            <w:r>
              <w:rPr>
                <w:rFonts w:hint="default" w:ascii="仿宋_GB2312" w:eastAsia="仿宋_GB2312" w:cs="仿宋_GB2312"/>
                <w:color w:val="000000"/>
                <w:sz w:val="24"/>
                <w:szCs w:val="24"/>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灶台灭火装置</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二氧化碳灭火器5Kg</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吊装灭火器 8Kg</w:t>
            </w:r>
          </w:p>
        </w:tc>
        <w:tc>
          <w:tcPr>
            <w:tcW w:w="4620" w:type="dxa"/>
            <w:tcBorders>
              <w:tl2br w:val="nil"/>
              <w:tr2bl w:val="nil"/>
            </w:tcBorders>
            <w:shd w:val="clear" w:color="auto" w:fill="auto"/>
            <w:tcMar>
              <w:top w:w="15" w:type="dxa"/>
              <w:left w:w="15" w:type="dxa"/>
              <w:right w:w="15"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80" w:hRule="atLeast"/>
          <w:tblCellSpacing w:w="0" w:type="dxa"/>
        </w:trPr>
        <w:tc>
          <w:tcPr>
            <w:tcW w:w="5960" w:type="dxa"/>
            <w:tcBorders>
              <w:tl2br w:val="nil"/>
              <w:tr2bl w:val="nil"/>
            </w:tcBorders>
            <w:shd w:val="clear" w:color="auto" w:fill="auto"/>
            <w:tcMar>
              <w:top w:w="20" w:type="dxa"/>
              <w:left w:w="20" w:type="dxa"/>
              <w:bottom w:w="72" w:type="dxa"/>
              <w:right w:w="20"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合计</w:t>
            </w:r>
          </w:p>
        </w:tc>
        <w:tc>
          <w:tcPr>
            <w:tcW w:w="4620" w:type="dxa"/>
            <w:tcBorders>
              <w:tl2br w:val="nil"/>
              <w:tr2bl w:val="nil"/>
            </w:tcBorders>
            <w:shd w:val="clear" w:color="auto" w:fill="auto"/>
            <w:tcMar>
              <w:top w:w="20" w:type="dxa"/>
              <w:left w:w="20" w:type="dxa"/>
              <w:bottom w:w="72" w:type="dxa"/>
              <w:right w:w="20" w:type="dxa"/>
            </w:tcMar>
            <w:vAlign w:val="center"/>
          </w:tcPr>
          <w:p>
            <w:pPr>
              <w:pStyle w:val="6"/>
              <w:keepNext w:val="0"/>
              <w:keepLines w:val="0"/>
              <w:widowControl/>
              <w:suppressLineNumbers w:val="0"/>
              <w:jc w:val="center"/>
            </w:pPr>
            <w:r>
              <w:rPr>
                <w:rFonts w:hint="default" w:ascii="仿宋_GB2312" w:eastAsia="仿宋_GB2312" w:cs="仿宋_GB2312"/>
                <w:color w:val="000000"/>
                <w:sz w:val="24"/>
                <w:szCs w:val="24"/>
              </w:rPr>
              <w:t>3485</w:t>
            </w:r>
          </w:p>
        </w:tc>
      </w:tr>
    </w:tbl>
    <w:p>
      <w:pPr>
        <w:autoSpaceDE w:val="0"/>
        <w:autoSpaceDN w:val="0"/>
        <w:adjustRightInd w:val="0"/>
        <w:spacing w:before="50" w:line="360" w:lineRule="auto"/>
        <w:rPr>
          <w:b/>
          <w:bCs/>
        </w:rPr>
      </w:pPr>
    </w:p>
    <w:sectPr>
      <w:pgSz w:w="11906" w:h="16838"/>
      <w:pgMar w:top="567" w:right="1286" w:bottom="567" w:left="138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3"/>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TFmZDBjYzRhZjY0NWQzOGVlZmE0MTNkOWM0NWQifQ=="/>
  </w:docVars>
  <w:rsids>
    <w:rsidRoot w:val="782822E6"/>
    <w:rsid w:val="00745D49"/>
    <w:rsid w:val="045F48DF"/>
    <w:rsid w:val="06264B3E"/>
    <w:rsid w:val="062E24EB"/>
    <w:rsid w:val="0EED6FE6"/>
    <w:rsid w:val="14FE7639"/>
    <w:rsid w:val="190D1D1C"/>
    <w:rsid w:val="195F6F80"/>
    <w:rsid w:val="1E361750"/>
    <w:rsid w:val="298173AD"/>
    <w:rsid w:val="35CD77FF"/>
    <w:rsid w:val="42CF5F02"/>
    <w:rsid w:val="48726833"/>
    <w:rsid w:val="589D0C8F"/>
    <w:rsid w:val="5F733CA2"/>
    <w:rsid w:val="66D52951"/>
    <w:rsid w:val="77642A02"/>
    <w:rsid w:val="782822E6"/>
    <w:rsid w:val="7865066E"/>
    <w:rsid w:val="78C1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1"/>
      <w:lang w:val="en-US" w:eastAsia="zh-CN" w:bidi="ar-SA"/>
    </w:rPr>
  </w:style>
  <w:style w:type="paragraph" w:styleId="3">
    <w:name w:val="heading 3"/>
    <w:basedOn w:val="1"/>
    <w:next w:val="1"/>
    <w:qFormat/>
    <w:uiPriority w:val="0"/>
    <w:pPr>
      <w:keepNext/>
      <w:keepLines/>
      <w:numPr>
        <w:ilvl w:val="2"/>
        <w:numId w:val="1"/>
      </w:numPr>
      <w:adjustRightInd w:val="0"/>
      <w:spacing w:before="240" w:after="120" w:line="300" w:lineRule="auto"/>
      <w:jc w:val="left"/>
      <w:textAlignment w:val="baseline"/>
      <w:outlineLvl w:val="2"/>
    </w:pPr>
    <w:rPr>
      <w:b/>
      <w:kern w:val="0"/>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Body Text Indent"/>
    <w:basedOn w:val="1"/>
    <w:next w:val="5"/>
    <w:qFormat/>
    <w:uiPriority w:val="0"/>
    <w:pPr>
      <w:tabs>
        <w:tab w:val="left" w:pos="8640"/>
      </w:tabs>
      <w:ind w:left="1365"/>
    </w:pPr>
  </w:style>
  <w:style w:type="paragraph" w:styleId="5">
    <w:name w:val="envelope return"/>
    <w:qFormat/>
    <w:uiPriority w:val="99"/>
    <w:pPr>
      <w:widowControl w:val="0"/>
      <w:snapToGrid w:val="0"/>
      <w:jc w:val="both"/>
    </w:pPr>
    <w:rPr>
      <w:rFonts w:ascii="Arial" w:hAnsi="Arial" w:eastAsia="宋体" w:cs="Arial"/>
      <w:kern w:val="2"/>
      <w:sz w:val="21"/>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2024-09-18T05:51:00Z</dcterms:created>
  <dc:creator>睡不醒的小狼</dc:creator>
  <cp:lastModifiedBy>高莉</cp:lastModifiedBy>
  <dcterms:modified xsi:type="dcterms:W3CDTF">2025-09-03T06:25:51Z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AAC7DA18C5CC4BD4A2D451F15C642D0A_11</vt:lpwstr>
  </property>
</Properties>
</file>