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70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小汤山医院</w:t>
      </w:r>
      <w:r>
        <w:rPr>
          <w:rFonts w:hint="eastAsia"/>
          <w:sz w:val="32"/>
          <w:szCs w:val="32"/>
          <w:lang w:val="en-US" w:eastAsia="zh-CN"/>
        </w:rPr>
        <w:t>门禁增补</w:t>
      </w:r>
      <w:r>
        <w:rPr>
          <w:rFonts w:hint="eastAsia"/>
          <w:sz w:val="32"/>
          <w:szCs w:val="32"/>
        </w:rPr>
        <w:t>技术参数要求</w:t>
      </w:r>
    </w:p>
    <w:p w14:paraId="44AD5038">
      <w:pPr>
        <w:pStyle w:val="8"/>
        <w:outlineLvl w:val="2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1、设备名称、数量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067"/>
        <w:gridCol w:w="901"/>
        <w:gridCol w:w="3360"/>
      </w:tblGrid>
      <w:tr w14:paraId="34BD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93" w:type="dxa"/>
          </w:tcPr>
          <w:p w14:paraId="270E072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067" w:type="dxa"/>
          </w:tcPr>
          <w:p w14:paraId="30213EC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901" w:type="dxa"/>
          </w:tcPr>
          <w:p w14:paraId="6DC928F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360" w:type="dxa"/>
          </w:tcPr>
          <w:p w14:paraId="2A83B84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1BA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93" w:type="dxa"/>
          </w:tcPr>
          <w:p w14:paraId="53B6A29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一、</w:t>
            </w:r>
          </w:p>
        </w:tc>
        <w:tc>
          <w:tcPr>
            <w:tcW w:w="3067" w:type="dxa"/>
          </w:tcPr>
          <w:p w14:paraId="73D83BE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E区</w:t>
            </w:r>
          </w:p>
        </w:tc>
        <w:tc>
          <w:tcPr>
            <w:tcW w:w="901" w:type="dxa"/>
          </w:tcPr>
          <w:p w14:paraId="7DDF566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 w14:paraId="7722C31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822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 w14:paraId="63FDC440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67" w:type="dxa"/>
          </w:tcPr>
          <w:p w14:paraId="7139D69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门禁系统</w:t>
            </w:r>
          </w:p>
        </w:tc>
        <w:tc>
          <w:tcPr>
            <w:tcW w:w="901" w:type="dxa"/>
          </w:tcPr>
          <w:p w14:paraId="7B169E0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 w14:paraId="1BD0BC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72A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3" w:type="dxa"/>
          </w:tcPr>
          <w:p w14:paraId="557560C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3067" w:type="dxa"/>
          </w:tcPr>
          <w:p w14:paraId="30727356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门禁控制器</w:t>
            </w:r>
          </w:p>
        </w:tc>
        <w:tc>
          <w:tcPr>
            <w:tcW w:w="901" w:type="dxa"/>
          </w:tcPr>
          <w:p w14:paraId="55A73637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 w14:paraId="6F91B33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4门控制器</w:t>
            </w:r>
          </w:p>
        </w:tc>
      </w:tr>
      <w:tr w14:paraId="2D6E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 w14:paraId="4C62062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3067" w:type="dxa"/>
          </w:tcPr>
          <w:p w14:paraId="68F5E8B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读卡器</w:t>
            </w:r>
          </w:p>
        </w:tc>
        <w:tc>
          <w:tcPr>
            <w:tcW w:w="901" w:type="dxa"/>
          </w:tcPr>
          <w:p w14:paraId="68F7A430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60" w:type="dxa"/>
          </w:tcPr>
          <w:p w14:paraId="36914FA9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刷卡、密码</w:t>
            </w:r>
          </w:p>
        </w:tc>
      </w:tr>
      <w:tr w14:paraId="6270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3" w:type="dxa"/>
          </w:tcPr>
          <w:p w14:paraId="7009D4D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3067" w:type="dxa"/>
          </w:tcPr>
          <w:p w14:paraId="235E6F0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锁</w:t>
            </w:r>
          </w:p>
        </w:tc>
        <w:tc>
          <w:tcPr>
            <w:tcW w:w="901" w:type="dxa"/>
          </w:tcPr>
          <w:p w14:paraId="74AAC967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 w14:paraId="2D68C44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单门*2</w:t>
            </w:r>
          </w:p>
        </w:tc>
      </w:tr>
      <w:tr w14:paraId="06C5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3" w:type="dxa"/>
          </w:tcPr>
          <w:p w14:paraId="5C9818E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  <w:tc>
          <w:tcPr>
            <w:tcW w:w="3067" w:type="dxa"/>
          </w:tcPr>
          <w:p w14:paraId="7F55F28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闭门器</w:t>
            </w:r>
          </w:p>
        </w:tc>
        <w:tc>
          <w:tcPr>
            <w:tcW w:w="901" w:type="dxa"/>
          </w:tcPr>
          <w:p w14:paraId="0CA3AC79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 w14:paraId="57D32B6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*2</w:t>
            </w:r>
          </w:p>
        </w:tc>
      </w:tr>
      <w:tr w14:paraId="24FA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3" w:type="dxa"/>
          </w:tcPr>
          <w:p w14:paraId="5C63062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3067" w:type="dxa"/>
            <w:vAlign w:val="top"/>
          </w:tcPr>
          <w:p w14:paraId="0ABC8916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玻璃破碎</w:t>
            </w:r>
          </w:p>
        </w:tc>
        <w:tc>
          <w:tcPr>
            <w:tcW w:w="901" w:type="dxa"/>
            <w:vAlign w:val="top"/>
          </w:tcPr>
          <w:p w14:paraId="2B0582F3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top"/>
          </w:tcPr>
          <w:p w14:paraId="1928AE16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绿色</w:t>
            </w:r>
          </w:p>
        </w:tc>
      </w:tr>
      <w:tr w14:paraId="1631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93" w:type="dxa"/>
          </w:tcPr>
          <w:p w14:paraId="07FA6E66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67" w:type="dxa"/>
          </w:tcPr>
          <w:p w14:paraId="246496A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管线材料</w:t>
            </w:r>
          </w:p>
        </w:tc>
        <w:tc>
          <w:tcPr>
            <w:tcW w:w="901" w:type="dxa"/>
          </w:tcPr>
          <w:p w14:paraId="7B8A755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 w14:paraId="2C89376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8C9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3" w:type="dxa"/>
          </w:tcPr>
          <w:p w14:paraId="1B200A7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3067" w:type="dxa"/>
          </w:tcPr>
          <w:p w14:paraId="26FB6B1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网线</w:t>
            </w:r>
          </w:p>
        </w:tc>
        <w:tc>
          <w:tcPr>
            <w:tcW w:w="901" w:type="dxa"/>
          </w:tcPr>
          <w:p w14:paraId="1573007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3360" w:type="dxa"/>
          </w:tcPr>
          <w:p w14:paraId="0B66744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网络设备信号线</w:t>
            </w:r>
          </w:p>
        </w:tc>
      </w:tr>
      <w:tr w14:paraId="3C1D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3" w:type="dxa"/>
          </w:tcPr>
          <w:p w14:paraId="5A790D2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3067" w:type="dxa"/>
          </w:tcPr>
          <w:p w14:paraId="100E3E2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护套线</w:t>
            </w:r>
          </w:p>
        </w:tc>
        <w:tc>
          <w:tcPr>
            <w:tcW w:w="901" w:type="dxa"/>
          </w:tcPr>
          <w:p w14:paraId="343F969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3360" w:type="dxa"/>
          </w:tcPr>
          <w:p w14:paraId="342DBFA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分支供电</w:t>
            </w:r>
          </w:p>
        </w:tc>
      </w:tr>
      <w:tr w14:paraId="572C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 w14:paraId="00BEF55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3067" w:type="dxa"/>
          </w:tcPr>
          <w:p w14:paraId="09ACA08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PVC线槽</w:t>
            </w:r>
          </w:p>
        </w:tc>
        <w:tc>
          <w:tcPr>
            <w:tcW w:w="901" w:type="dxa"/>
          </w:tcPr>
          <w:p w14:paraId="2EC4AEB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360" w:type="dxa"/>
          </w:tcPr>
          <w:p w14:paraId="37ACFBE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室内屋顶向墙面延伸敷设</w:t>
            </w:r>
          </w:p>
        </w:tc>
      </w:tr>
      <w:tr w14:paraId="010C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77D9DDF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3067" w:type="dxa"/>
          </w:tcPr>
          <w:p w14:paraId="1009EA2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PVC穿线管</w:t>
            </w:r>
          </w:p>
        </w:tc>
        <w:tc>
          <w:tcPr>
            <w:tcW w:w="901" w:type="dxa"/>
          </w:tcPr>
          <w:p w14:paraId="7DD7E93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3360" w:type="dxa"/>
          </w:tcPr>
          <w:p w14:paraId="75420ED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前段设备接线敷设</w:t>
            </w:r>
          </w:p>
        </w:tc>
      </w:tr>
      <w:tr w14:paraId="0808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 w14:paraId="656A3D2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067" w:type="dxa"/>
          </w:tcPr>
          <w:p w14:paraId="2136101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技术服务费</w:t>
            </w:r>
          </w:p>
        </w:tc>
        <w:tc>
          <w:tcPr>
            <w:tcW w:w="901" w:type="dxa"/>
          </w:tcPr>
          <w:p w14:paraId="345740DA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 w14:paraId="3530EFB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安装调试、平台介入</w:t>
            </w:r>
          </w:p>
        </w:tc>
      </w:tr>
      <w:tr w14:paraId="21E6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21" w:type="dxa"/>
            <w:gridSpan w:val="4"/>
            <w:vAlign w:val="center"/>
          </w:tcPr>
          <w:p w14:paraId="0176BA6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报价金额包含安装调试、平台接入、运费税金等。</w:t>
            </w:r>
          </w:p>
        </w:tc>
      </w:tr>
    </w:tbl>
    <w:p w14:paraId="3E447177"/>
    <w:p w14:paraId="1D2C856F">
      <w:pPr>
        <w:pStyle w:val="8"/>
        <w:outlineLvl w:val="2"/>
      </w:pPr>
      <w:r>
        <w:rPr>
          <w:rFonts w:hint="eastAsia"/>
          <w:szCs w:val="24"/>
          <w:lang w:val="en-US" w:eastAsia="zh-CN"/>
        </w:rPr>
        <w:t>2</w:t>
      </w:r>
      <w:r>
        <w:rPr>
          <w:rFonts w:hint="eastAsia"/>
          <w:szCs w:val="24"/>
        </w:rPr>
        <w:t xml:space="preserve"> </w:t>
      </w:r>
      <w:r>
        <w:rPr>
          <w:rStyle w:val="9"/>
          <w:rFonts w:hint="eastAsia" w:ascii="Times New Roman" w:hAnsi="Times New Roman" w:eastAsia="宋体" w:cs="Times New Roman"/>
          <w:bCs w:val="0"/>
          <w:sz w:val="24"/>
          <w:szCs w:val="28"/>
        </w:rPr>
        <w:t>招标</w:t>
      </w:r>
      <w:r>
        <w:rPr>
          <w:rFonts w:hint="eastAsia"/>
        </w:rPr>
        <w:t>范围及</w:t>
      </w:r>
      <w:r>
        <w:rPr>
          <w:rStyle w:val="9"/>
          <w:rFonts w:hint="eastAsia" w:ascii="Times New Roman" w:hAnsi="Times New Roman" w:eastAsia="宋体" w:cs="Times New Roman"/>
          <w:bCs w:val="0"/>
          <w:sz w:val="24"/>
          <w:szCs w:val="28"/>
        </w:rPr>
        <w:t>要求</w:t>
      </w:r>
    </w:p>
    <w:p w14:paraId="78ADFC5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本次招标范围为小汤山医院</w:t>
      </w:r>
      <w:r>
        <w:rPr>
          <w:rFonts w:hint="eastAsia" w:ascii="宋体" w:hAnsi="宋体" w:cs="宋体"/>
          <w:sz w:val="24"/>
          <w:lang w:val="en-US" w:eastAsia="zh-CN"/>
        </w:rPr>
        <w:t>E区增补门禁管控设备</w:t>
      </w:r>
      <w:r>
        <w:rPr>
          <w:rFonts w:hint="eastAsia" w:ascii="宋体" w:hAnsi="宋体" w:cs="宋体"/>
          <w:sz w:val="24"/>
        </w:rPr>
        <w:t>的安装及调试，所更换设备满足一年以上质保期，质保期内确保在得到通知后24小时之内对故障设备进行修复。所</w:t>
      </w:r>
      <w:r>
        <w:rPr>
          <w:rFonts w:hint="eastAsia" w:ascii="宋体" w:hAnsi="宋体" w:cs="宋体"/>
          <w:sz w:val="24"/>
          <w:lang w:val="en-US" w:eastAsia="zh-CN"/>
        </w:rPr>
        <w:t>增补</w:t>
      </w:r>
      <w:r>
        <w:rPr>
          <w:rFonts w:hint="eastAsia" w:ascii="宋体" w:hAnsi="宋体" w:cs="宋体"/>
          <w:sz w:val="24"/>
        </w:rPr>
        <w:t>设备设施需在得到通知后7日内安装调试完成。</w:t>
      </w:r>
    </w:p>
    <w:p w14:paraId="7E8B0638">
      <w:pPr>
        <w:tabs>
          <w:tab w:val="left" w:pos="0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投标人提供的</w:t>
      </w:r>
      <w:r>
        <w:rPr>
          <w:rFonts w:hint="eastAsia"/>
          <w:sz w:val="24"/>
          <w:lang w:val="en-US" w:eastAsia="zh-CN"/>
        </w:rPr>
        <w:t>门禁管控设备</w:t>
      </w:r>
      <w:r>
        <w:rPr>
          <w:rFonts w:hint="eastAsia"/>
          <w:sz w:val="24"/>
        </w:rPr>
        <w:t>应是成熟的、可靠的、技术先进的产品，采用国内知名品牌。为保证技术接口统一、便于系统调试、后期维护管理，要求所选用产品能将</w:t>
      </w:r>
      <w:r>
        <w:rPr>
          <w:rFonts w:hint="eastAsia"/>
          <w:sz w:val="24"/>
          <w:lang w:val="en-US" w:eastAsia="zh-CN"/>
        </w:rPr>
        <w:t>门禁管控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功能</w:t>
      </w:r>
      <w:r>
        <w:rPr>
          <w:rFonts w:hint="eastAsia"/>
          <w:sz w:val="24"/>
        </w:rPr>
        <w:t>状态</w:t>
      </w:r>
      <w:r>
        <w:rPr>
          <w:rFonts w:hint="eastAsia"/>
          <w:sz w:val="24"/>
          <w:lang w:val="en-US" w:eastAsia="zh-CN"/>
        </w:rPr>
        <w:t>数据通讯至</w:t>
      </w:r>
      <w:r>
        <w:rPr>
          <w:rFonts w:hint="eastAsia"/>
          <w:sz w:val="24"/>
        </w:rPr>
        <w:t>现有</w:t>
      </w:r>
      <w:r>
        <w:rPr>
          <w:rFonts w:hint="eastAsia"/>
          <w:sz w:val="24"/>
          <w:lang w:val="en-US" w:eastAsia="zh-CN"/>
        </w:rPr>
        <w:t>安防门禁软件平台</w:t>
      </w:r>
      <w:r>
        <w:rPr>
          <w:rFonts w:hint="eastAsia"/>
          <w:sz w:val="24"/>
        </w:rPr>
        <w:t>进行</w:t>
      </w:r>
      <w:r>
        <w:rPr>
          <w:rFonts w:hint="eastAsia"/>
          <w:sz w:val="24"/>
          <w:lang w:val="en-US" w:eastAsia="zh-CN"/>
        </w:rPr>
        <w:t>统一管理</w:t>
      </w:r>
      <w:r>
        <w:rPr>
          <w:rFonts w:hint="eastAsia"/>
          <w:sz w:val="24"/>
        </w:rPr>
        <w:t>。应根据现场工作需要进行文明施工。投标人应无条件响应招标人的要求。</w:t>
      </w:r>
    </w:p>
    <w:p w14:paraId="294A720C">
      <w:pPr>
        <w:pStyle w:val="2"/>
        <w:ind w:firstLine="0"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3</w:t>
      </w:r>
      <w:r>
        <w:rPr>
          <w:rFonts w:hint="eastAsia"/>
          <w:b/>
          <w:bCs/>
          <w:sz w:val="24"/>
          <w:szCs w:val="28"/>
        </w:rPr>
        <w:t xml:space="preserve"> 技术要求及规格</w:t>
      </w:r>
    </w:p>
    <w:p w14:paraId="38961613">
      <w:pPr>
        <w:pStyle w:val="2"/>
        <w:ind w:firstLine="0" w:firstLineChars="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.1 使用环境条件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98"/>
        <w:gridCol w:w="5898"/>
      </w:tblGrid>
      <w:tr w14:paraId="2265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9" w:type="dxa"/>
            <w:vAlign w:val="center"/>
          </w:tcPr>
          <w:p w14:paraId="7CE273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798" w:type="dxa"/>
            <w:vAlign w:val="center"/>
          </w:tcPr>
          <w:p w14:paraId="5B443B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  目</w:t>
            </w:r>
          </w:p>
        </w:tc>
        <w:tc>
          <w:tcPr>
            <w:tcW w:w="5898" w:type="dxa"/>
            <w:vAlign w:val="center"/>
          </w:tcPr>
          <w:p w14:paraId="4BB2ABCB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内       容</w:t>
            </w:r>
          </w:p>
        </w:tc>
      </w:tr>
      <w:tr w14:paraId="408E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09" w:type="dxa"/>
            <w:vMerge w:val="restart"/>
            <w:vAlign w:val="center"/>
          </w:tcPr>
          <w:p w14:paraId="4D2F6486">
            <w:pPr>
              <w:ind w:firstLine="174" w:firstLineChars="83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98" w:type="dxa"/>
            <w:vAlign w:val="center"/>
          </w:tcPr>
          <w:p w14:paraId="2DA0AD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工作环境温度</w:t>
            </w:r>
          </w:p>
        </w:tc>
        <w:tc>
          <w:tcPr>
            <w:tcW w:w="5898" w:type="dxa"/>
            <w:vAlign w:val="center"/>
          </w:tcPr>
          <w:p w14:paraId="55E645CB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szCs w:val="21"/>
              </w:rPr>
              <w:t>℃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sym w:font="Symbol" w:char="002B"/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 w:cs="宋体"/>
                <w:szCs w:val="21"/>
              </w:rPr>
              <w:t>℃</w:t>
            </w:r>
          </w:p>
        </w:tc>
      </w:tr>
      <w:tr w14:paraId="007C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09" w:type="dxa"/>
            <w:vMerge w:val="continue"/>
            <w:vAlign w:val="center"/>
          </w:tcPr>
          <w:p w14:paraId="46B84208">
            <w:pPr>
              <w:ind w:firstLine="420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1D393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工作环境</w:t>
            </w:r>
            <w:r>
              <w:rPr>
                <w:rFonts w:hint="eastAsia"/>
                <w:szCs w:val="21"/>
                <w:lang w:val="en-US" w:eastAsia="zh-CN"/>
              </w:rPr>
              <w:t>湿</w:t>
            </w:r>
            <w:r>
              <w:rPr>
                <w:szCs w:val="21"/>
              </w:rPr>
              <w:t>度</w:t>
            </w:r>
          </w:p>
        </w:tc>
        <w:tc>
          <w:tcPr>
            <w:tcW w:w="5898" w:type="dxa"/>
            <w:vAlign w:val="center"/>
          </w:tcPr>
          <w:p w14:paraId="68716271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湿度≤90%（不凝露）</w:t>
            </w:r>
          </w:p>
        </w:tc>
      </w:tr>
    </w:tbl>
    <w:p w14:paraId="6C66C645">
      <w:pPr>
        <w:pStyle w:val="2"/>
        <w:ind w:firstLine="0" w:firstLineChars="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.2系统要求</w:t>
      </w:r>
    </w:p>
    <w:p w14:paraId="0F827B0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系统能对区域出入口实现对不同进出对象的权限管理，控制人员进出相关</w:t>
      </w:r>
      <w:r>
        <w:rPr>
          <w:rFonts w:hint="eastAsia" w:ascii="宋体" w:hAnsi="宋体" w:eastAsia="宋体" w:cs="宋体"/>
          <w:sz w:val="24"/>
          <w:lang w:val="en-US" w:eastAsia="zh-CN"/>
        </w:rPr>
        <w:t>门禁</w:t>
      </w:r>
      <w:r>
        <w:rPr>
          <w:rFonts w:hint="eastAsia" w:ascii="宋体" w:hAnsi="宋体" w:eastAsia="宋体" w:cs="宋体"/>
          <w:sz w:val="24"/>
        </w:rPr>
        <w:t>区域。</w:t>
      </w:r>
    </w:p>
    <w:p w14:paraId="46E767C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系统信息处理装置能对有关</w:t>
      </w:r>
      <w:r>
        <w:rPr>
          <w:rFonts w:hint="eastAsia" w:ascii="宋体" w:hAnsi="宋体" w:eastAsia="宋体" w:cs="宋体"/>
          <w:sz w:val="24"/>
          <w:lang w:val="en-US" w:eastAsia="zh-CN"/>
        </w:rPr>
        <w:t>人员出入</w:t>
      </w:r>
      <w:r>
        <w:rPr>
          <w:rFonts w:hint="eastAsia" w:ascii="宋体" w:hAnsi="宋体" w:eastAsia="宋体" w:cs="宋体"/>
          <w:sz w:val="24"/>
        </w:rPr>
        <w:t>信息自动记录、打印、存储，并有防篡改和防销毁等功能。</w:t>
      </w:r>
    </w:p>
    <w:p w14:paraId="43A9E66D">
      <w:pPr>
        <w:pStyle w:val="2"/>
        <w:ind w:firstLine="0" w:firstLineChars="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.3 系统技术标准</w:t>
      </w:r>
    </w:p>
    <w:p w14:paraId="77DF96E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系统设备所涉及的产品、设计、工程及验收标准、规范等必须满足中华人民共和国的现行条例及规范，包括但不限于此：</w:t>
      </w:r>
    </w:p>
    <w:p w14:paraId="46E37D9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《北京市医院管理中心关于修订市属医院安防系统建设指南的通知》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京医管运行〔2023〕2 号</w:t>
      </w:r>
    </w:p>
    <w:p w14:paraId="330E99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《安全防范工程通用规范》(GB 55029-2022)</w:t>
      </w:r>
    </w:p>
    <w:p w14:paraId="0D90C9F0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《安全防范工程技术标准》(GB 50348-2018)</w:t>
      </w:r>
    </w:p>
    <w:p w14:paraId="636A8A90">
      <w:pPr>
        <w:pStyle w:val="2"/>
        <w:ind w:firstLine="0" w:firstLineChars="0"/>
        <w:rPr>
          <w:rFonts w:hint="eastAsia"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.4 主要设备技术要求</w:t>
      </w:r>
    </w:p>
    <w:p w14:paraId="1EAF5635">
      <w:pPr>
        <w:pStyle w:val="2"/>
        <w:ind w:firstLine="0" w:firstLineChars="0"/>
        <w:rPr>
          <w:rFonts w:hint="eastAsia" w:eastAsia="宋体" w:cs="Times New Roman"/>
          <w:b/>
          <w:bCs/>
          <w:sz w:val="24"/>
        </w:rPr>
      </w:pPr>
    </w:p>
    <w:p w14:paraId="310D390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 xml:space="preserve">.4.1 </w:t>
      </w:r>
      <w:r>
        <w:rPr>
          <w:rFonts w:ascii="宋体" w:hAnsi="宋体" w:eastAsia="宋体" w:cs="宋体"/>
          <w:b/>
          <w:bCs/>
          <w:sz w:val="24"/>
        </w:rPr>
        <w:t>四门门禁控制器（网络）</w:t>
      </w:r>
    </w:p>
    <w:p w14:paraId="29257ED4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1.规格：▲含冷锌喷塑箱体370*345*90mm，▲含空气开关且安装在电气导轨，预留后备电池空间；</w:t>
      </w:r>
    </w:p>
    <w:p w14:paraId="19FBA7ED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2.电源管理：▲含开关电源，▲读卡器与锁各自独立供电（读头电源短路不影响门锁），读卡器电源短路报警，▲开箱自动照明；▲开箱时软件有相应的记录及报警；</w:t>
      </w:r>
    </w:p>
    <w:p w14:paraId="70BB8BAD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.读卡器接口：RS485加密，最多8个读卡器接入（手拉手通讯距离≥500m），▲支持纯RS485人脸读卡器，▲支持纯RS485二维码读卡器，▲支持纯RS485液晶读卡器，▲支持纯RS485指纹读卡器，▲读卡器防撬报警并置于紧急模式。兼容WG读卡器；</w:t>
      </w:r>
    </w:p>
    <w:p w14:paraId="25405F0F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4.控制接口：输入*10（光耦方式，8路自定义功能），▲消防接口，▲读卡器提供额外输入点（门状态信号等），继电器输出*4（电锁控制，点动/延时，断电/通电开门型），扩展接口（可接外部继电器）；</w:t>
      </w:r>
    </w:p>
    <w:p w14:paraId="12693F9B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5.通讯：加密TCP/IP（100M）；</w:t>
      </w:r>
    </w:p>
    <w:p w14:paraId="51C2393B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6.抗扰能力：控制板安装于等电位接地支架。▲提供CMA/CNAS检测报告（GB/T 17626.2的3级，GB/T 17626.5的4级，GB/T 17626.4的4级）；</w:t>
      </w:r>
    </w:p>
    <w:p w14:paraId="1D2713A5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7.管理能力：用户访问级别（无穷），100个访问时间周期，访问时间段（星期、小时、分钟）。100个特定日期(节假日、特殊工作日、非工作日) ，▲CMA/CNAS智能门禁控制系统检测报告；</w:t>
      </w:r>
    </w:p>
    <w:p w14:paraId="1776384E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8.卡类型：工程卡、系统卡、警卫卡、成员卡、巡检卡、访客卡；▲支持8字节长卡号；</w:t>
      </w:r>
    </w:p>
    <w:p w14:paraId="0B5252AB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9.脱网运行能力：系统采用端边协同工作，脱网情况下，端侧仍可正常现场控制并记录数据；</w:t>
      </w:r>
    </w:p>
    <w:p w14:paraId="542700A1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10.存储：注册卡片*10万（选配100万）、▲人脸特征*1000、指纹特征*3000，记录*10万条（可选扩容）；</w:t>
      </w:r>
    </w:p>
    <w:p w14:paraId="28133007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11.维护：▲可视化中文调试（APP，提供软件著作权登记证书）；</w:t>
      </w:r>
    </w:p>
    <w:p w14:paraId="40372179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12.电源：~220V，≤1A；</w:t>
      </w:r>
    </w:p>
    <w:p w14:paraId="5DD3C8D0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13.工作环境：-20℃~65℃，湿度≤90%（不凝露），需安装在安全区域；</w:t>
      </w:r>
    </w:p>
    <w:p w14:paraId="2292EB84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</w:p>
    <w:p w14:paraId="1BF46E1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.4.2 读卡器</w:t>
      </w:r>
    </w:p>
    <w:p w14:paraId="1E896247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1、尺寸：90*90*17mm，86盒安装；</w:t>
      </w:r>
    </w:p>
    <w:p w14:paraId="65F22CBC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2、材质：精雕工艺铝合金，前覆钢化玻璃，6P快插端子;</w:t>
      </w:r>
    </w:p>
    <w:p w14:paraId="3AE4C68A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3、认证方式支持：14443A（M1、CPU、NFC、Q-Pass），14443B（身份证），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卡片认证防止NFC复制，密码；</w:t>
      </w:r>
    </w:p>
    <w:p w14:paraId="526717DC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4、通讯方式：RS485双向加密通讯；</w:t>
      </w:r>
    </w:p>
    <w:p w14:paraId="257D454B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5、交互：RGB指示，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不同色灯（红/绿/蓝）反馈鉴权结果，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真人语音提示；</w:t>
      </w:r>
    </w:p>
    <w:p w14:paraId="4C4F1EEA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6、安全性：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磁感防拆报警，上传控制器及平台软件；</w:t>
      </w:r>
    </w:p>
    <w:p w14:paraId="54BB5B29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7、先进性：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支持keyfree手机蓝牙开门；</w:t>
      </w:r>
    </w:p>
    <w:p w14:paraId="60EF953F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8、抗扰能力：GB/T 17626.2的3级，GB/T 17626.5的4级，GB/T 17626.4的4级；</w:t>
      </w:r>
    </w:p>
    <w:p w14:paraId="24427E11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9、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可视化中文调试界面（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APP提供软件著作权登记证书）；</w:t>
      </w:r>
    </w:p>
    <w:p w14:paraId="32CF4F49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10、电源：DC12V±20％，0.1A；</w:t>
      </w:r>
    </w:p>
    <w:p w14:paraId="19B6A7FA"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11、工作环境：-20</w:t>
      </w:r>
      <w:r>
        <w:rPr>
          <w:rFonts w:hint="eastAsia" w:ascii="宋体" w:hAnsi="宋体" w:eastAsia="宋体" w:cs="宋体"/>
          <w:sz w:val="24"/>
        </w:rPr>
        <w:t>℃</w:t>
      </w:r>
      <w:r>
        <w:rPr>
          <w:rFonts w:ascii="宋体" w:hAnsi="宋体" w:eastAsia="宋体" w:cs="宋体"/>
          <w:sz w:val="24"/>
        </w:rPr>
        <w:t>~65湿度≤90%（不凝露）；</w:t>
      </w:r>
    </w:p>
    <w:p w14:paraId="62089F80">
      <w:pPr>
        <w:pStyle w:val="2"/>
      </w:pPr>
    </w:p>
    <w:p w14:paraId="7BBD3387">
      <w:pPr>
        <w:pStyle w:val="2"/>
      </w:pPr>
    </w:p>
    <w:p w14:paraId="01B4E995">
      <w:pPr>
        <w:pStyle w:val="2"/>
        <w:ind w:left="0" w:leftChars="0" w:firstLine="0" w:firstLineChars="0"/>
      </w:pPr>
    </w:p>
    <w:p w14:paraId="6C5C931E">
      <w:pPr>
        <w:pStyle w:val="2"/>
        <w:ind w:firstLine="6480" w:firstLineChars="2700"/>
        <w:rPr>
          <w:sz w:val="24"/>
        </w:rPr>
      </w:pPr>
      <w:r>
        <w:rPr>
          <w:rFonts w:hint="eastAsia"/>
          <w:sz w:val="24"/>
        </w:rPr>
        <w:t>保卫处</w:t>
      </w:r>
    </w:p>
    <w:p w14:paraId="3887FAB1">
      <w:pPr>
        <w:pStyle w:val="2"/>
        <w:ind w:firstLine="6000" w:firstLineChars="2500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Tk5NTIxZTA1OTEwM2NiOGFiMWZmZDAxMTk0MWIifQ=="/>
  </w:docVars>
  <w:rsids>
    <w:rsidRoot w:val="00A61D0B"/>
    <w:rsid w:val="00320A42"/>
    <w:rsid w:val="003B5A33"/>
    <w:rsid w:val="00556218"/>
    <w:rsid w:val="006B0D6D"/>
    <w:rsid w:val="006C0FBC"/>
    <w:rsid w:val="00A61D0B"/>
    <w:rsid w:val="00D8730D"/>
    <w:rsid w:val="01B677B0"/>
    <w:rsid w:val="06E3111A"/>
    <w:rsid w:val="0D1E617C"/>
    <w:rsid w:val="0D3C2720"/>
    <w:rsid w:val="158B7F4C"/>
    <w:rsid w:val="1E0321BF"/>
    <w:rsid w:val="203140EA"/>
    <w:rsid w:val="29E43AC8"/>
    <w:rsid w:val="33B32083"/>
    <w:rsid w:val="3CCB418B"/>
    <w:rsid w:val="65355EFF"/>
    <w:rsid w:val="720A2925"/>
    <w:rsid w:val="7A3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标题一"/>
    <w:basedOn w:val="1"/>
    <w:qFormat/>
    <w:uiPriority w:val="0"/>
    <w:pPr>
      <w:tabs>
        <w:tab w:val="left" w:pos="0"/>
      </w:tabs>
      <w:outlineLvl w:val="0"/>
    </w:pPr>
    <w:rPr>
      <w:b/>
      <w:bCs/>
      <w:sz w:val="24"/>
      <w:szCs w:val="28"/>
    </w:rPr>
  </w:style>
  <w:style w:type="character" w:customStyle="1" w:styleId="9">
    <w:name w:val="标题 Char"/>
    <w:qFormat/>
    <w:uiPriority w:val="0"/>
    <w:rPr>
      <w:rFonts w:ascii="黑体" w:hAnsi="Arial" w:eastAsia="黑体" w:cs="Arial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1621</Words>
  <Characters>1938</Characters>
  <Lines>18</Lines>
  <Paragraphs>5</Paragraphs>
  <TotalTime>138</TotalTime>
  <ScaleCrop>false</ScaleCrop>
  <LinksUpToDate>false</LinksUpToDate>
  <CharactersWithSpaces>1966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2024-05-20T02:38:00Z</dcterms:created>
  <dc:creator>wangll</dc:creator>
  <cp:lastModifiedBy>翔翱天际</cp:lastModifiedBy>
  <cp:lastPrinted>2024-12-06T00:19:00Z</cp:lastPrinted>
  <dcterms:modified xsi:type="dcterms:W3CDTF">2025-09-22T05:44:36Z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1A1A76CFF1B44E25B3FAB0A9C11AABC4_12</vt:lpwstr>
  </property>
  <property fmtid="{D5CDD505-2E9C-101B-9397-08002B2CF9AE}" pid="4" name="KSOTemplateDocerSaveRecord">
    <vt:lpwstr>eyJoZGlkIjoiZGIxYjcwNTZhYjRmNDgwZWM2NDY1ZjIxNjIyYjZjYjgiLCJ1c2VySWQiOiIzMjM5OTU0NDUifQ==</vt:lpwstr>
  </property>
</Properties>
</file>