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 w:ascii="宋体" w:hAnsi="宋体"/>
          <w:b/>
          <w:bCs w:val="0"/>
          <w:sz w:val="24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（</w:t>
      </w:r>
      <w:r>
        <w:rPr>
          <w:rFonts w:hint="eastAsia" w:ascii="宋体" w:hAnsi="宋体"/>
          <w:b/>
          <w:sz w:val="36"/>
          <w:szCs w:val="36"/>
          <w:u w:val="single"/>
          <w:lang w:val="en-US" w:eastAsia="zh-CN"/>
        </w:rPr>
        <w:t xml:space="preserve"> 2025-2026年北京小汤山医院口腔科义齿加工厂商</w:t>
      </w:r>
      <w:r>
        <w:rPr>
          <w:rFonts w:hint="eastAsia" w:ascii="宋体" w:hAnsi="宋体"/>
          <w:b/>
          <w:sz w:val="36"/>
          <w:szCs w:val="36"/>
          <w:lang w:eastAsia="zh-CN"/>
        </w:rPr>
        <w:t>）项目</w:t>
      </w:r>
      <w:r>
        <w:rPr>
          <w:rFonts w:ascii="宋体" w:hAnsi="宋体"/>
          <w:b/>
          <w:sz w:val="36"/>
          <w:szCs w:val="36"/>
        </w:rPr>
        <w:t>采购需求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contextualSpacing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商务要求</w:t>
      </w:r>
    </w:p>
    <w:p>
      <w:pPr>
        <w:pStyle w:val="11"/>
        <w:numPr>
          <w:ilvl w:val="0"/>
          <w:numId w:val="0"/>
        </w:numPr>
        <w:spacing w:line="360" w:lineRule="auto"/>
        <w:ind w:leftChars="0"/>
        <w:contextualSpacing/>
        <w:rPr>
          <w:rFonts w:hint="eastAsia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1.相关时间</w:t>
      </w:r>
    </w:p>
    <w:p>
      <w:pPr>
        <w:numPr>
          <w:ilvl w:val="0"/>
          <w:numId w:val="0"/>
        </w:numPr>
        <w:spacing w:line="360" w:lineRule="auto"/>
        <w:contextualSpacing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 w:eastAsia="zh-CN"/>
        </w:rPr>
        <w:t>1.1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服务期限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本次采购的服务期限为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eastAsia="zh-CN"/>
        </w:rPr>
        <w:t>：合同签订之日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至2026</w:t>
      </w:r>
      <w:bookmarkStart w:id="0" w:name="_GoBack"/>
      <w:bookmarkEnd w:id="0"/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年12月31日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 w:eastAsia="zh-CN"/>
        </w:rPr>
        <w:t>1.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2. 服务/交付地点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所有加工完成的义齿修复体必须准确送达至：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北京小汤山医院口腔科（指定联系人及联系方式）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/>
        <w:textAlignment w:val="auto"/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eastAsia="zh-CN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 w:eastAsia="zh-CN"/>
        </w:rPr>
        <w:t>1.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3. 交付与物流方式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eastAsia="zh-CN"/>
        </w:rPr>
        <w:t>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 w:eastAsia="zh-CN"/>
        </w:rPr>
        <w:t>1.3.1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交付时间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：供应商在接收我院交付的模型及加工单后，应在双方确认的各类义齿标准制作周期内完成制作并寄出。对于加急件，须按双方约定时限完成。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 w:eastAsia="zh-CN"/>
        </w:rPr>
        <w:t>1.3.2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交付方式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：由成交供应商负责通过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可靠的快递物流方式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将修复体安全运送至指定地点。运输过程中须采取充分的保护措施，确保修复体及模型无损坏、无丢失。所有运输费用及风险由供应商承担。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 w:eastAsia="zh-CN"/>
        </w:rPr>
        <w:t>1.3.3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. 付款方式与进度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付款方式采用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按季度支付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。我院在每季度末对本期内的加工服务进行验收，确认数量、质量无误且无重大售后问题后，根据双方确认的结算清单，在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次月内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支付相应季度的服务费用。供应商需开具合法有效的发票。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/>
        <w:textAlignment w:val="auto"/>
        <w:rPr>
          <w:rFonts w:hint="eastAsia" w:ascii="宋体" w:hAnsi="宋体"/>
          <w:b/>
          <w:bCs w:val="0"/>
          <w:sz w:val="24"/>
          <w:lang w:eastAsia="zh-CN"/>
        </w:rPr>
      </w:pPr>
    </w:p>
    <w:p>
      <w:pPr>
        <w:numPr>
          <w:ilvl w:val="0"/>
          <w:numId w:val="2"/>
        </w:numPr>
        <w:spacing w:line="360" w:lineRule="auto"/>
        <w:contextualSpacing/>
        <w:rPr>
          <w:rFonts w:hint="eastAsia" w:ascii="宋体" w:hAnsi="宋体" w:eastAsia="宋体" w:cs="Times New Roman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highlight w:val="none"/>
          <w:lang w:val="en-US" w:eastAsia="zh-CN"/>
        </w:rPr>
        <w:t>供应商资格条件要求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满足《中华人民共和国政府采购法》第二十二条规定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2.2具有独立承担民事责任的能力；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2.3具有良好的商业信誉和健全的财务会计制度；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2.4具有履行合同所必需的设备和专业技术能力；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2.5有依法缴纳税收和社会保障资金的良好记录；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2.6参加政府采购活动前3年内，没有重大违法记录；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2.7法律、行政法规规定的其他条件。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2.8本项目特定资格要求：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2.8.1具有独立承担民事责任的能力，在中华人民共和国境内注册的法人或其他组织，持有有效的《营业执照》。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2.8.2具备有效的《医疗器械生产企业许可证》及所投报义齿产品的《医疗器械注册证》或备案凭证。</w:t>
      </w:r>
    </w:p>
    <w:p>
      <w:pPr>
        <w:pStyle w:val="2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contextualSpacing/>
        <w:rPr>
          <w:rFonts w:hint="eastAsia" w:ascii="宋体" w:hAnsi="宋体" w:eastAsia="宋体"/>
          <w:b/>
          <w:bCs w:val="0"/>
          <w:sz w:val="24"/>
          <w:lang w:val="en-US" w:eastAsia="zh-CN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>3.其他要求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 w:eastAsia="zh-CN"/>
        </w:rPr>
        <w:t>3.1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专业技术能力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核心能力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：必须具备独立完成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复杂义齿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的设计与制作能力。包括但不限于：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种植体支持式修复体（含个性化基台）、精密附着体、套筒冠、全口咬合重建修复体、各类全瓷修复体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等。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数字化能力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：拥有成熟的数字化设计（CAD）与制作（CAM）能力，能够无缝接收和处理我院提供的数字化模型（如STL、DCM等格式）数据。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质量体系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：建议提供ISO13485医疗器械质量管理体系认证证书，以证明其生产流程和质量控制体系的规范性。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 w:eastAsia="zh-CN"/>
        </w:rPr>
        <w:t>3.2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 w:eastAsia="zh-CN"/>
        </w:rPr>
        <w:t>、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业绩经验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须提供近三年内（2022年至今）与至少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两家三级医院或同等规模医疗机构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的合作案例证明（如合同关键页复印件、用户证明等）。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信誉要求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：参加采购活动前三年内，在经营活动中没有重大违法记录。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firstLine="480" w:firstLineChars="200"/>
        <w:textAlignment w:val="auto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未被“信用中国”网站列入失信被执行人、重大税收违法案件当事人名单，未被中国政府采购网列入政府采购严重违法失信行为记录名单。</w:t>
      </w:r>
    </w:p>
    <w:p>
      <w:pPr>
        <w:numPr>
          <w:ilvl w:val="0"/>
          <w:numId w:val="0"/>
        </w:numPr>
        <w:spacing w:line="360" w:lineRule="auto"/>
        <w:contextualSpacing/>
        <w:rPr>
          <w:rFonts w:hint="eastAsia" w:ascii="宋体" w:hAnsi="宋体"/>
          <w:b/>
          <w:bCs w:val="0"/>
          <w:sz w:val="24"/>
          <w:lang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contextualSpacing/>
        <w:rPr>
          <w:rFonts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  <w:lang w:val="en-US" w:eastAsia="zh-CN"/>
        </w:rPr>
        <w:t>4</w:t>
      </w:r>
      <w:r>
        <w:rPr>
          <w:rFonts w:ascii="宋体" w:hAnsi="宋体"/>
          <w:b/>
          <w:bCs/>
          <w:sz w:val="24"/>
          <w:highlight w:val="none"/>
        </w:rPr>
        <w:t>售后服务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 w:eastAsia="zh-CN"/>
        </w:rPr>
        <w:t>4.1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售后及质保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供应商须提供与产品价值相匹配的、优于行业标准的质量保证期。具体如下：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全瓷修复体（如全瓷冠、全瓷贴面、全瓷桥等）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：质保期自患者戴用之日起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不少于三年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。在质保期内，因制作工艺或材料缺陷导致的任何问题（如崩瓷、断裂、非人为造成的颜色异常变化等），供应商须无条件免费重做。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金属烤瓷修复体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：质保期自患者戴用之日起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不少于两年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。质保范围同上。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活动义齿、正畸矫治器等其他修复体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：质保期自患者戴用之日起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不少于一年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。质保范围同上。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所有因质量问题导致的返工，往返物流费用由供应商承担。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/>
          <w:sz w:val="24"/>
          <w:lang w:val="en-US" w:eastAsia="zh-CN"/>
        </w:rPr>
        <w:t>4.2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其他服务要求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响应与沟通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：供应商应指定专职客服和技师，提供7x24小时紧急联系电话，确保能及时响应我院临床医生的咨询与反馈。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技术支持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：应能提供必要的临床技术支持，协助医生解决修复体就位、粘接等技术难题。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/>
          <w:b/>
          <w:bCs w:val="0"/>
          <w:sz w:val="24"/>
          <w:lang w:eastAsia="zh-CN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数据保密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：供应商必须对我院患者的全部病历资料、模型、扫描数据等信息严格保密，并签订保密协议。</w:t>
      </w:r>
    </w:p>
    <w:p>
      <w:pPr>
        <w:spacing w:line="360" w:lineRule="auto"/>
        <w:contextualSpacing/>
        <w:rPr>
          <w:rFonts w:ascii="宋体" w:hAnsi="宋体"/>
          <w:b/>
          <w:i/>
          <w:sz w:val="24"/>
          <w:highlight w:val="none"/>
        </w:rPr>
      </w:pPr>
    </w:p>
    <w:p>
      <w:pPr>
        <w:pStyle w:val="11"/>
        <w:numPr>
          <w:ilvl w:val="0"/>
          <w:numId w:val="1"/>
        </w:numPr>
        <w:spacing w:line="360" w:lineRule="auto"/>
        <w:ind w:firstLineChars="0"/>
        <w:contextualSpacing/>
        <w:rPr>
          <w:rFonts w:ascii="宋体" w:hAnsi="宋体"/>
          <w:b/>
          <w:sz w:val="24"/>
          <w:szCs w:val="24"/>
          <w:highlight w:val="none"/>
        </w:rPr>
      </w:pPr>
      <w:r>
        <w:rPr>
          <w:rFonts w:ascii="宋体" w:hAnsi="宋体"/>
          <w:b/>
          <w:sz w:val="24"/>
          <w:szCs w:val="24"/>
          <w:highlight w:val="none"/>
        </w:rPr>
        <w:t>技术要求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★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 w:eastAsia="zh-CN"/>
        </w:rPr>
        <w:t>1.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材料要求：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所有材料必须符合国家医疗器械及生物安全标准，提供主要原材料（如金属、瓷块、树脂等）的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材质证明文件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。必须提供并随货附带同批次产品的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《出厂检验报告》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实际使用的材料必须与投标承诺及临床订单中指定的品牌、型号、等级（如：进口二氧化锆、纯钛、硬质树脂等）完全一致，严禁未经同意擅自替换。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 w:eastAsia="zh-CN"/>
        </w:rPr>
        <w:t>2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. 技术性能与质量要求：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就位性</w:t>
      </w:r>
      <w:r>
        <w:rPr>
          <w:rStyle w:val="9"/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修复体戴入顺利，无阻力，无翘动。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边缘密合度</w:t>
      </w:r>
      <w:r>
        <w:rPr>
          <w:rStyle w:val="9"/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边缘与牙体密合，探针探查无肉眼可见间隙，无悬突。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邻接关系</w:t>
      </w:r>
      <w:r>
        <w:rPr>
          <w:rStyle w:val="9"/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接触点松紧适度，能有效防止食物嵌塞。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咬合关系</w:t>
      </w:r>
      <w:r>
        <w:rPr>
          <w:rStyle w:val="9"/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各向咬合接触良好，无早接触或颌干扰，患者感觉舒适。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颜色与外观</w:t>
      </w:r>
      <w:r>
        <w:rPr>
          <w:rStyle w:val="9"/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颜色与邻牙协调、自然，通透度好，形态逼真，表面光滑，无裂纹、气泡、杂质。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物理强度</w:t>
      </w:r>
      <w:r>
        <w:rPr>
          <w:rStyle w:val="9"/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修复体在正常口腔咬合力量下无变形、无折裂。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★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 w:eastAsia="zh-CN"/>
        </w:rPr>
        <w:t>3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. 安全与包装要求：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产品必须独立包装，内外包装标签清晰、完整，注明患者姓名、产品名称、牙位、加工厂、生产及失效日期等信息。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产品必须无菌或达到规定的卫生消毒标准，确保临床使用安全。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★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 w:eastAsia="zh-CN"/>
        </w:rPr>
        <w:t>4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供应商须承诺在协议期内按中标价格稳定供货。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 w:eastAsia="zh-CN"/>
        </w:rPr>
        <w:t>5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. 交付效率：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普通修复体（如烤瓷冠、普通全瓷冠）</w:t>
      </w:r>
      <w:r>
        <w:rPr>
          <w:rStyle w:val="9"/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自收到订单及模型之日起，交付周期不超过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 w:eastAsia="zh-CN"/>
        </w:rPr>
        <w:t>7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个工作日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复杂修复体（如种植上部结构、附着体、纯钛支架）</w:t>
      </w:r>
      <w:r>
        <w:rPr>
          <w:rStyle w:val="9"/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交付周期不超过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 w:eastAsia="zh-CN"/>
        </w:rPr>
        <w:t>14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个工作日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供应商需具备处理 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加急订单（如：3个工作日内）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 的能力，并明确加急费用标准（如有）。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 w:eastAsia="zh-CN"/>
        </w:rPr>
        <w:t>6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. 人员与响应：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必须配备专属的、经验丰富的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技术支持与客服人员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，提供7x24小时紧急联系电话。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对于临床设计咨询、修改需求等，应在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2个工作小时内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予以响应。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鼓励供应商配备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资深修复技师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，能参与本院复杂病例的线上或线下设计会诊。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★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 w:eastAsia="zh-CN"/>
        </w:rPr>
        <w:t>7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. 返工与售后：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对于确属供应商责任（如：颜色、形态、就位、密合度不达标）导致的不合格品，供应商必须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无条件免费返工重做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，并承担因此产生的一切费用，且不得影响原交付时限。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 w:eastAsia="zh-CN"/>
        </w:rPr>
        <w:t>8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. 质量追溯与改进：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供应商应建立完善的质量追溯体系，对每一件产品均可追溯至生产人员和环节。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定期（如每半年）向采购方提供质量分析报告，并主动进行质量回访。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 w:eastAsia="zh-CN"/>
        </w:rPr>
        <w:t>9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. 增值服务：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鼓励供应商提供如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数字化口内扫描设备支持、定期修复技术新进展培训、疑难病例解决方案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等增值服务。通过供应商先进的技术、稳定的质量、高效的服务，提升我院口腔科的诊疗水平与患者满意度。在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数字化应用（如CAD/CAM设计、3D打印）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、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复杂病例处理能力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、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应急响应机制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等方面的优势与具体措施。</w:t>
      </w:r>
    </w:p>
    <w:p>
      <w:pPr>
        <w:pStyle w:val="11"/>
        <w:adjustRightInd w:val="0"/>
        <w:spacing w:line="360" w:lineRule="auto"/>
        <w:ind w:left="0" w:leftChars="0" w:firstLine="0" w:firstLineChars="0"/>
        <w:contextualSpacing/>
        <w:jc w:val="left"/>
        <w:rPr>
          <w:rFonts w:hint="eastAsia" w:ascii="宋体" w:hAnsi="宋体" w:eastAsia="宋体"/>
          <w:sz w:val="24"/>
          <w:szCs w:val="24"/>
          <w:highlight w:val="none"/>
          <w:lang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contextualSpacing/>
        <w:rPr>
          <w:rFonts w:hint="eastAsia" w:ascii="宋体" w:hAnsi="宋体" w:eastAsia="宋体"/>
          <w:sz w:val="24"/>
          <w:highlight w:val="none"/>
          <w:lang w:eastAsia="zh-CN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10.</w:t>
      </w:r>
      <w:r>
        <w:rPr>
          <w:rFonts w:ascii="宋体" w:hAnsi="宋体"/>
          <w:sz w:val="24"/>
          <w:highlight w:val="none"/>
        </w:rPr>
        <w:t>验</w:t>
      </w:r>
      <w:r>
        <w:rPr>
          <w:rFonts w:ascii="宋体" w:hAnsi="宋体"/>
          <w:color w:val="auto"/>
          <w:sz w:val="24"/>
          <w:highlight w:val="none"/>
        </w:rPr>
        <w:t>收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方案</w:t>
      </w:r>
      <w:r>
        <w:rPr>
          <w:rFonts w:hint="eastAsia" w:ascii="宋体" w:hAnsi="宋体"/>
          <w:sz w:val="24"/>
          <w:highlight w:val="none"/>
          <w:lang w:eastAsia="zh-CN"/>
        </w:rPr>
        <w:t>及</w:t>
      </w:r>
      <w:r>
        <w:rPr>
          <w:rFonts w:ascii="宋体" w:hAnsi="宋体"/>
          <w:sz w:val="24"/>
          <w:highlight w:val="none"/>
        </w:rPr>
        <w:t>标准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 w:eastAsia="zh-CN"/>
        </w:rPr>
        <w:t>10.1、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接收</w:t>
      </w:r>
      <w:r>
        <w:rPr>
          <w:rStyle w:val="9"/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货物送达后，接收人首先检查外包装是否完好、有无破损或污染。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 w:eastAsia="zh-CN"/>
        </w:rPr>
        <w:t>10.</w:t>
      </w:r>
      <w:r>
        <w:rPr>
          <w:rStyle w:val="9"/>
          <w:rFonts w:hint="default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/>
        </w:rPr>
        <w:t>2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 w:eastAsia="zh-CN"/>
        </w:rPr>
        <w:t>、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核对</w:t>
      </w:r>
      <w:r>
        <w:rPr>
          <w:rStyle w:val="9"/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开箱后，核对内部标签信息，包括：患者姓名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/>
        </w:rPr>
        <w:t>,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产品名称（如：#16 二氧化锆全瓷冠）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/>
        </w:rPr>
        <w:t>,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牙位/编号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/>
        </w:rPr>
        <w:t>,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加工厂名称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/>
        </w:rPr>
        <w:t>,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生产日期/失效日期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 w:eastAsia="zh-CN"/>
        </w:rPr>
        <w:t>10.3、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初检</w:t>
      </w:r>
      <w:r>
        <w:rPr>
          <w:rStyle w:val="9"/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肉眼观察义齿有无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明显的裂纹、缺损、气泡、颜色不均或严重污物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 w:eastAsia="zh-CN"/>
        </w:rPr>
        <w:t>10.4、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记录</w:t>
      </w:r>
      <w:r>
        <w:rPr>
          <w:rStyle w:val="9"/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 w:eastAsia="zh-CN"/>
        </w:rPr>
        <w:t>: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若初检不合格，应立即拍照留存证据，并通知科室负责人和供应商业务代表，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拒绝接收该不合格品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，并在《义齿验收登记表》上注明情况。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 w:eastAsia="zh-CN"/>
        </w:rPr>
        <w:t>10.5、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临床终验（试戴）</w:t>
      </w:r>
      <w:r>
        <w:rPr>
          <w:rStyle w:val="9"/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 w:eastAsia="zh-CN"/>
        </w:rPr>
        <w:t>: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医师在患者口内进行试戴，检查以下各项，并在《义齿临床戴牙验收单》上签字确认。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 w:eastAsia="zh-CN"/>
        </w:rPr>
        <w:t>10.6、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入库与结算</w:t>
      </w:r>
      <w:r>
        <w:rPr>
          <w:rStyle w:val="9"/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只有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临床终验合格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的产品，方可视为验收通过，办理入库手续，并作为财务结算的最终依据。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F1115"/>
          <w:spacing w:val="0"/>
          <w:sz w:val="24"/>
          <w:szCs w:val="24"/>
          <w:u w:val="none"/>
        </w:rPr>
      </w:pPr>
      <w:r>
        <w:rPr>
          <w:rStyle w:val="9"/>
          <w:rFonts w:hint="eastAsia" w:ascii="宋体" w:hAnsi="宋体" w:eastAsia="宋体" w:cs="宋体"/>
          <w:b w:val="0"/>
          <w:bCs/>
          <w:i w:val="0"/>
          <w:iCs w:val="0"/>
          <w:caps w:val="0"/>
          <w:color w:val="0F1115"/>
          <w:spacing w:val="0"/>
          <w:sz w:val="24"/>
          <w:szCs w:val="24"/>
          <w:u w:val="none"/>
          <w:lang w:val="en-US" w:eastAsia="zh-CN"/>
        </w:rPr>
        <w:t>10.7、</w:t>
      </w:r>
      <w:r>
        <w:rPr>
          <w:rStyle w:val="9"/>
          <w:rFonts w:hint="eastAsia" w:ascii="宋体" w:hAnsi="宋体" w:eastAsia="宋体" w:cs="宋体"/>
          <w:b w:val="0"/>
          <w:bCs/>
          <w:i w:val="0"/>
          <w:iCs w:val="0"/>
          <w:caps w:val="0"/>
          <w:color w:val="0F1115"/>
          <w:spacing w:val="0"/>
          <w:sz w:val="24"/>
          <w:szCs w:val="24"/>
          <w:u w:val="none"/>
        </w:rPr>
        <w:t>详细验收标准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F1115"/>
          <w:spacing w:val="0"/>
          <w:sz w:val="24"/>
          <w:szCs w:val="24"/>
          <w:u w:val="none"/>
        </w:rPr>
      </w:pPr>
      <w:r>
        <w:rPr>
          <w:rStyle w:val="9"/>
          <w:rFonts w:hint="eastAsia" w:ascii="宋体" w:hAnsi="宋体" w:eastAsia="宋体" w:cs="宋体"/>
          <w:b w:val="0"/>
          <w:bCs/>
          <w:i w:val="0"/>
          <w:iCs w:val="0"/>
          <w:caps w:val="0"/>
          <w:color w:val="0F1115"/>
          <w:spacing w:val="0"/>
          <w:sz w:val="24"/>
          <w:szCs w:val="24"/>
          <w:u w:val="none"/>
        </w:rPr>
        <w:t>A. 通用质量标准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i w:val="0"/>
          <w:iCs w:val="0"/>
          <w:caps w:val="0"/>
          <w:color w:val="0F1115"/>
          <w:spacing w:val="0"/>
          <w:sz w:val="24"/>
          <w:szCs w:val="24"/>
          <w:u w:val="none"/>
        </w:rPr>
        <w:t>合规性</w:t>
      </w:r>
      <w:r>
        <w:rPr>
          <w:rStyle w:val="9"/>
          <w:rFonts w:hint="eastAsia" w:ascii="宋体" w:hAnsi="宋体" w:cs="宋体"/>
          <w:b w:val="0"/>
          <w:bCs/>
          <w:i w:val="0"/>
          <w:iCs w:val="0"/>
          <w:caps w:val="0"/>
          <w:color w:val="0F1115"/>
          <w:spacing w:val="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F1115"/>
          <w:spacing w:val="0"/>
          <w:sz w:val="24"/>
          <w:szCs w:val="24"/>
          <w:u w:val="none"/>
        </w:rPr>
        <w:t>产品必须具有符合医疗器械管理规定的标签、包装，并可提供</w:t>
      </w:r>
      <w:r>
        <w:rPr>
          <w:rStyle w:val="9"/>
          <w:rFonts w:hint="eastAsia" w:ascii="宋体" w:hAnsi="宋体" w:eastAsia="宋体" w:cs="宋体"/>
          <w:b w:val="0"/>
          <w:bCs/>
          <w:i w:val="0"/>
          <w:iCs w:val="0"/>
          <w:caps w:val="0"/>
          <w:color w:val="0F1115"/>
          <w:spacing w:val="0"/>
          <w:sz w:val="24"/>
          <w:szCs w:val="24"/>
          <w:u w:val="none"/>
        </w:rPr>
        <w:t>医疗器械注册证/备案凭证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F1115"/>
          <w:spacing w:val="0"/>
          <w:sz w:val="24"/>
          <w:szCs w:val="24"/>
          <w:u w:val="none"/>
        </w:rPr>
        <w:t>及同批次产品的</w:t>
      </w:r>
      <w:r>
        <w:rPr>
          <w:rStyle w:val="9"/>
          <w:rFonts w:hint="eastAsia" w:ascii="宋体" w:hAnsi="宋体" w:eastAsia="宋体" w:cs="宋体"/>
          <w:b w:val="0"/>
          <w:bCs/>
          <w:i w:val="0"/>
          <w:iCs w:val="0"/>
          <w:caps w:val="0"/>
          <w:color w:val="0F1115"/>
          <w:spacing w:val="0"/>
          <w:sz w:val="24"/>
          <w:szCs w:val="24"/>
          <w:u w:val="none"/>
        </w:rPr>
        <w:t>出厂检验报告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F1115"/>
          <w:spacing w:val="0"/>
          <w:sz w:val="24"/>
          <w:szCs w:val="24"/>
          <w:u w:val="none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i w:val="0"/>
          <w:iCs w:val="0"/>
          <w:caps w:val="0"/>
          <w:color w:val="0F1115"/>
          <w:spacing w:val="0"/>
          <w:sz w:val="24"/>
          <w:szCs w:val="24"/>
          <w:u w:val="none"/>
        </w:rPr>
        <w:t>材质符合性</w:t>
      </w:r>
      <w:r>
        <w:rPr>
          <w:rStyle w:val="9"/>
          <w:rFonts w:hint="eastAsia" w:ascii="宋体" w:hAnsi="宋体" w:cs="宋体"/>
          <w:b w:val="0"/>
          <w:bCs/>
          <w:i w:val="0"/>
          <w:iCs w:val="0"/>
          <w:caps w:val="0"/>
          <w:color w:val="0F1115"/>
          <w:spacing w:val="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F1115"/>
          <w:spacing w:val="0"/>
          <w:sz w:val="24"/>
          <w:szCs w:val="24"/>
          <w:u w:val="none"/>
        </w:rPr>
        <w:t>实际使用的材料必须与订单中约定的材质（如：进口二氧化锆、纯钛等）完全一致，供应商应备有材质证明文件以供核查。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</w:pPr>
      <w:r>
        <w:rPr>
          <w:rStyle w:val="9"/>
          <w:rFonts w:hint="eastAsia" w:ascii="宋体" w:hAnsi="宋体" w:eastAsia="宋体" w:cs="宋体"/>
          <w:b w:val="0"/>
          <w:bCs/>
          <w:i w:val="0"/>
          <w:iCs w:val="0"/>
          <w:caps w:val="0"/>
          <w:color w:val="0F1115"/>
          <w:spacing w:val="0"/>
          <w:sz w:val="24"/>
          <w:szCs w:val="24"/>
          <w:u w:val="none"/>
        </w:rPr>
        <w:t>生物安全性</w:t>
      </w:r>
      <w:r>
        <w:rPr>
          <w:rStyle w:val="9"/>
          <w:rFonts w:hint="eastAsia" w:ascii="宋体" w:hAnsi="宋体" w:cs="宋体"/>
          <w:b w:val="0"/>
          <w:bCs/>
          <w:i w:val="0"/>
          <w:iCs w:val="0"/>
          <w:caps w:val="0"/>
          <w:color w:val="0F1115"/>
          <w:spacing w:val="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F1115"/>
          <w:spacing w:val="0"/>
          <w:sz w:val="24"/>
          <w:szCs w:val="24"/>
          <w:u w:val="none"/>
        </w:rPr>
        <w:t>产品与人体接触部分必须无毒、无刺激，具有良好的生物相容性。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F1115"/>
          <w:spacing w:val="0"/>
          <w:sz w:val="24"/>
          <w:szCs w:val="24"/>
          <w:u w:val="none"/>
          <w:lang w:val="en-US" w:eastAsia="zh-CN"/>
        </w:rPr>
        <w:t>B</w:t>
      </w:r>
      <w:r>
        <w:rPr>
          <w:rFonts w:hint="default" w:ascii="宋体" w:hAnsi="宋体" w:eastAsia="宋体" w:cs="宋体"/>
          <w:b w:val="0"/>
          <w:bCs/>
          <w:i w:val="0"/>
          <w:iCs w:val="0"/>
          <w:caps w:val="0"/>
          <w:color w:val="0F1115"/>
          <w:spacing w:val="0"/>
          <w:sz w:val="24"/>
          <w:szCs w:val="24"/>
          <w:u w:val="none"/>
          <w:lang w:val="en-US" w:eastAsia="zh-CN"/>
        </w:rPr>
        <w:t>.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不合格品的处理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识别与隔离</w:t>
      </w:r>
      <w:r>
        <w:rPr>
          <w:rStyle w:val="9"/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任何阶段发现的不合格品，应立即停止使用，并与其他合格品隔离存放。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记录与通知</w:t>
      </w:r>
      <w:r>
        <w:rPr>
          <w:rStyle w:val="9"/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详细记录不合格情况（最好附照片/视频），并立即书面通知供应商。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处理方式：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default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/>
        </w:rPr>
        <w:t>a.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返工/调整</w:t>
      </w:r>
      <w:r>
        <w:rPr>
          <w:rStyle w:val="9"/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对于轻微问题（如咬合稍高），可由医师现场调整解决，并记录在案。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default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/>
        </w:rPr>
        <w:t>b.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退货重做</w:t>
      </w:r>
      <w:r>
        <w:rPr>
          <w:rStyle w:val="9"/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对于严重质量问题（如颜色不符、就位不良、破裂等），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必须退货并要求供应商免费重做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。新的交货日期应从重做之日起重新计算。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default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/>
        </w:rPr>
        <w:t>c.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让步接收</w:t>
      </w:r>
      <w:r>
        <w:rPr>
          <w:rStyle w:val="9"/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在极其特殊且不影响功能、安全的前提下，经患者同意和科室批准，可做降价等让步处理，但此情况应严格控制。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default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/>
        </w:rPr>
        <w:t>d.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责任与费用</w:t>
      </w:r>
      <w:r>
        <w:rPr>
          <w:rStyle w:val="9"/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因产品质量问题导致的一切返工、重做、运输费用及由此产生的额外诊疗成本，均由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供应商承担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</w:pPr>
      <w:r>
        <w:rPr>
          <w:rStyle w:val="9"/>
          <w:rFonts w:hint="eastAsia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 w:eastAsia="zh-CN"/>
        </w:rPr>
        <w:t>10.</w:t>
      </w:r>
      <w:r>
        <w:rPr>
          <w:rStyle w:val="9"/>
          <w:rFonts w:hint="default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/>
        </w:rPr>
        <w:t>8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 w:eastAsia="zh-CN"/>
        </w:rPr>
        <w:t>、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 xml:space="preserve"> 验收记录与绩效评估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建立验收档案</w:t>
      </w:r>
      <w:r>
        <w:rPr>
          <w:rStyle w:val="9"/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为每一家入围供应商建立独立的《义齿质量与服务档案》，记录每一次的交付、验收、返工、投诉等情况。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定期绩效评估</w:t>
      </w:r>
      <w:r>
        <w:rPr>
          <w:rStyle w:val="9"/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每季度或每半年对入围供应商进行一次综合绩效评估，评估指标应包括：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产品一次验收合格率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（核心指标）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准时交付率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投诉/返工率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沟通响应速度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临床医师满意度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结果应用</w:t>
      </w:r>
      <w:r>
        <w:rPr>
          <w:rStyle w:val="9"/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绩效评估结果将作为后续订单分配、协议续签乃至淘汰供应商的重要依据。对长期排名靠后的供应商，可减少其订单份额或启动退出机制。</w:t>
      </w:r>
    </w:p>
    <w:p>
      <w:pPr>
        <w:numPr>
          <w:ilvl w:val="0"/>
          <w:numId w:val="0"/>
        </w:numPr>
        <w:spacing w:line="360" w:lineRule="auto"/>
        <w:ind w:leftChars="0"/>
        <w:contextualSpacing/>
        <w:rPr>
          <w:rFonts w:hint="eastAsia" w:ascii="宋体" w:hAnsi="宋体" w:eastAsia="宋体" w:cs="Times New Roman"/>
          <w:sz w:val="24"/>
          <w:highlight w:val="yellow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contextualSpacing/>
        <w:rPr>
          <w:rFonts w:hint="eastAsia" w:ascii="宋体" w:hAnsi="宋体" w:eastAsia="宋体" w:cs="Times New Roman"/>
          <w:sz w:val="24"/>
          <w:highlight w:val="none"/>
          <w:lang w:val="en-US" w:eastAsia="zh-CN"/>
        </w:rPr>
      </w:pPr>
      <w:r>
        <w:rPr>
          <w:rFonts w:hint="eastAsia" w:ascii="宋体" w:hAnsi="宋体" w:cs="Times New Roman"/>
          <w:sz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框架协议的限价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2860"/>
        <w:gridCol w:w="2972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2860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72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最高限价（元）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132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860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钴铬合金烤瓷牙</w:t>
            </w:r>
          </w:p>
        </w:tc>
        <w:tc>
          <w:tcPr>
            <w:tcW w:w="2972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140/颗</w:t>
            </w:r>
          </w:p>
        </w:tc>
        <w:tc>
          <w:tcPr>
            <w:tcW w:w="2132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860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二氧化锆全瓷牙（国产瓷粉）</w:t>
            </w:r>
          </w:p>
        </w:tc>
        <w:tc>
          <w:tcPr>
            <w:tcW w:w="2972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480/颗</w:t>
            </w:r>
          </w:p>
        </w:tc>
        <w:tc>
          <w:tcPr>
            <w:tcW w:w="2132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860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二氧化锆全瓷牙（进口瓷粉）</w:t>
            </w:r>
          </w:p>
        </w:tc>
        <w:tc>
          <w:tcPr>
            <w:tcW w:w="2972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700/颗</w:t>
            </w:r>
          </w:p>
        </w:tc>
        <w:tc>
          <w:tcPr>
            <w:tcW w:w="2132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860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铸瓷贴面</w:t>
            </w:r>
          </w:p>
        </w:tc>
        <w:tc>
          <w:tcPr>
            <w:tcW w:w="2972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560/颗</w:t>
            </w:r>
          </w:p>
        </w:tc>
        <w:tc>
          <w:tcPr>
            <w:tcW w:w="2132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860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钴铬合金支架（局部义齿）</w:t>
            </w:r>
          </w:p>
        </w:tc>
        <w:tc>
          <w:tcPr>
            <w:tcW w:w="2972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大：160/件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小：100/件</w:t>
            </w:r>
          </w:p>
        </w:tc>
        <w:tc>
          <w:tcPr>
            <w:tcW w:w="2132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860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纯钛支架（局部义齿）</w:t>
            </w:r>
          </w:p>
        </w:tc>
        <w:tc>
          <w:tcPr>
            <w:tcW w:w="2972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大950/件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小：550/件</w:t>
            </w:r>
          </w:p>
        </w:tc>
        <w:tc>
          <w:tcPr>
            <w:tcW w:w="2132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860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普通胶托活动义齿（全口）</w:t>
            </w:r>
          </w:p>
        </w:tc>
        <w:tc>
          <w:tcPr>
            <w:tcW w:w="2972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大：150/件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小：80/件</w:t>
            </w:r>
          </w:p>
        </w:tc>
        <w:tc>
          <w:tcPr>
            <w:tcW w:w="2132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860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二氧化锆种植冠</w:t>
            </w:r>
          </w:p>
        </w:tc>
        <w:tc>
          <w:tcPr>
            <w:tcW w:w="2972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国产爱尔创550/颗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进口威兰德900/颗</w:t>
            </w:r>
          </w:p>
        </w:tc>
        <w:tc>
          <w:tcPr>
            <w:tcW w:w="2132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860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纯钛切削支架</w:t>
            </w:r>
          </w:p>
        </w:tc>
        <w:tc>
          <w:tcPr>
            <w:tcW w:w="2972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大：160/件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小：100/件</w:t>
            </w:r>
          </w:p>
        </w:tc>
        <w:tc>
          <w:tcPr>
            <w:tcW w:w="2132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860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临时冠/桥（预成树脂）</w:t>
            </w:r>
          </w:p>
        </w:tc>
        <w:tc>
          <w:tcPr>
            <w:tcW w:w="2972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110/颗</w:t>
            </w:r>
          </w:p>
        </w:tc>
        <w:tc>
          <w:tcPr>
            <w:tcW w:w="2132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default"/>
          <w:lang w:val="en-US" w:eastAsia="zh-CN"/>
        </w:rPr>
      </w:pPr>
    </w:p>
    <w:sectPr>
      <w:pgSz w:w="11906" w:h="16838"/>
      <w:pgMar w:top="1440" w:right="1797" w:bottom="1440" w:left="1797" w:header="737" w:footer="680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C6A672"/>
    <w:multiLevelType w:val="singleLevel"/>
    <w:tmpl w:val="B3C6A67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3851098"/>
    <w:multiLevelType w:val="multilevel"/>
    <w:tmpl w:val="13851098"/>
    <w:lvl w:ilvl="0" w:tentative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E2"/>
    <w:rsid w:val="00A8508B"/>
    <w:rsid w:val="00DB2333"/>
    <w:rsid w:val="00F758A4"/>
    <w:rsid w:val="00F771E2"/>
    <w:rsid w:val="017D3FF1"/>
    <w:rsid w:val="02B24BAF"/>
    <w:rsid w:val="1172569A"/>
    <w:rsid w:val="196C41FA"/>
    <w:rsid w:val="1D3016B5"/>
    <w:rsid w:val="1EB57F8A"/>
    <w:rsid w:val="235544A7"/>
    <w:rsid w:val="23935B31"/>
    <w:rsid w:val="242111E6"/>
    <w:rsid w:val="281406F3"/>
    <w:rsid w:val="3D285659"/>
    <w:rsid w:val="44DE3FE2"/>
    <w:rsid w:val="454B15A8"/>
    <w:rsid w:val="45841E98"/>
    <w:rsid w:val="46910B1A"/>
    <w:rsid w:val="4735380E"/>
    <w:rsid w:val="483E74E2"/>
    <w:rsid w:val="488A6EF1"/>
    <w:rsid w:val="4AB95E60"/>
    <w:rsid w:val="4EDD1289"/>
    <w:rsid w:val="51B0031D"/>
    <w:rsid w:val="5450471F"/>
    <w:rsid w:val="576A43E0"/>
    <w:rsid w:val="5B8E20EF"/>
    <w:rsid w:val="5F4B2761"/>
    <w:rsid w:val="61464578"/>
    <w:rsid w:val="67D90F2E"/>
    <w:rsid w:val="6B4203DB"/>
    <w:rsid w:val="6E5B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列表段落 字符"/>
    <w:link w:val="11"/>
    <w:qFormat/>
    <w:uiPriority w:val="34"/>
    <w:rPr>
      <w:rFonts w:ascii="Calibri" w:hAnsi="Calibri" w:eastAsia="宋体"/>
    </w:rPr>
  </w:style>
  <w:style w:type="paragraph" w:styleId="11">
    <w:name w:val="List Paragraph"/>
    <w:basedOn w:val="1"/>
    <w:link w:val="10"/>
    <w:qFormat/>
    <w:uiPriority w:val="34"/>
    <w:pPr>
      <w:ind w:firstLine="420" w:firstLineChars="200"/>
    </w:pPr>
    <w:rPr>
      <w:rFonts w:ascii="Calibri" w:hAnsi="Calibri" w:cstheme="minorBidi"/>
      <w:szCs w:val="22"/>
    </w:rPr>
  </w:style>
  <w:style w:type="paragraph" w:customStyle="1" w:styleId="12">
    <w:name w:val="Other|1"/>
    <w:basedOn w:val="1"/>
    <w:qFormat/>
    <w:uiPriority w:val="0"/>
    <w:pPr>
      <w:widowControl w:val="0"/>
      <w:shd w:val="clear" w:color="auto" w:fill="auto"/>
      <w:spacing w:line="311" w:lineRule="exact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361</Words>
  <Characters>2059</Characters>
  <Lines>17</Lines>
  <Paragraphs>4</Paragraphs>
  <TotalTime>204</TotalTime>
  <ScaleCrop>false</ScaleCrop>
  <LinksUpToDate>false</LinksUpToDate>
  <CharactersWithSpaces>2416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2022-10-31T06:56:00Z</dcterms:created>
  <dc:creator>王 璐</dc:creator>
  <cp:lastModifiedBy>高莉</cp:lastModifiedBy>
  <cp:lastPrinted>2024-07-16T07:06:00Z</cp:lastPrinted>
  <dcterms:modified xsi:type="dcterms:W3CDTF">2025-12-04T05:31:42Z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