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ind w:firstLine="3534" w:firstLineChars="800"/>
        <w:jc w:val="both"/>
        <w:rPr>
          <w:rFonts w:asciiTheme="minorEastAsia" w:hAnsiTheme="minorEastAsia" w:eastAsiaTheme="minorEastAsia"/>
          <w:sz w:val="44"/>
        </w:rPr>
      </w:pPr>
      <w:bookmarkStart w:id="0" w:name="_Hlt9486019"/>
      <w:bookmarkEnd w:id="0"/>
      <w:bookmarkStart w:id="1" w:name="_Hlt3013640"/>
      <w:bookmarkEnd w:id="1"/>
      <w:bookmarkStart w:id="2" w:name="_Hlt3694737"/>
      <w:bookmarkEnd w:id="2"/>
      <w:bookmarkStart w:id="3" w:name="_Hlt10450950"/>
      <w:bookmarkEnd w:id="3"/>
      <w:bookmarkStart w:id="4" w:name="_Hlt3013648"/>
      <w:bookmarkEnd w:id="4"/>
      <w:bookmarkStart w:id="5" w:name="_Toc23221"/>
      <w:bookmarkStart w:id="6" w:name="_Toc332314508"/>
      <w:bookmarkStart w:id="7" w:name="_Toc535891688"/>
      <w:bookmarkStart w:id="8" w:name="_Toc535891855"/>
      <w:bookmarkStart w:id="9" w:name="_Toc535815711"/>
      <w:bookmarkStart w:id="10" w:name="_Toc535814466"/>
      <w:bookmarkStart w:id="11" w:name="_Toc535832555"/>
      <w:r>
        <w:rPr>
          <w:rFonts w:hint="eastAsia" w:cs="阿里巴巴普惠体 R" w:asciiTheme="minorEastAsia" w:hAnsiTheme="minorEastAsia" w:eastAsiaTheme="minorEastAsia"/>
          <w:sz w:val="44"/>
        </w:rPr>
        <w:t>采购需求</w:t>
      </w:r>
      <w:bookmarkEnd w:id="5"/>
      <w:bookmarkEnd w:id="6"/>
    </w:p>
    <w:p>
      <w:pPr>
        <w:spacing w:line="360" w:lineRule="auto"/>
        <w:ind w:left="2209" w:leftChars="104" w:hanging="1959" w:hangingChars="813"/>
        <w:rPr>
          <w:rFonts w:hint="eastAsia" w:cs="阿里巴巴普惠体 R" w:asciiTheme="minorEastAsia" w:hAnsiTheme="minorEastAsia" w:eastAsiaTheme="minorEastAsia"/>
        </w:rPr>
      </w:pPr>
      <w:r>
        <w:rPr>
          <w:rFonts w:hint="eastAsia" w:cs="阿里巴巴普惠体 R" w:asciiTheme="minorEastAsia" w:hAnsiTheme="minorEastAsia" w:eastAsiaTheme="minorEastAsia"/>
          <w:b/>
          <w:bCs/>
          <w:kern w:val="2"/>
        </w:rPr>
        <w:t>采购项目名称：</w:t>
      </w:r>
      <w:r>
        <w:rPr>
          <w:rFonts w:hint="eastAsia" w:cs="阿里巴巴普惠体 R" w:asciiTheme="minorEastAsia" w:hAnsiTheme="minorEastAsia" w:eastAsiaTheme="minorEastAsia"/>
          <w:sz w:val="24"/>
          <w:szCs w:val="24"/>
          <w:lang w:val="en-US" w:eastAsia="zh-CN" w:bidi="ar-SA"/>
        </w:rPr>
        <w:t>2026年院区天燃气调压箱维修保养服务</w:t>
      </w:r>
    </w:p>
    <w:p>
      <w:pPr>
        <w:spacing w:line="360" w:lineRule="auto"/>
        <w:ind w:firstLine="241" w:firstLineChars="100"/>
        <w:rPr>
          <w:rFonts w:hint="eastAsia" w:cs="阿里巴巴普惠体 R" w:asciiTheme="minorEastAsia" w:hAnsiTheme="minorEastAsia" w:eastAsiaTheme="minorEastAsia"/>
          <w:b/>
          <w:bCs/>
        </w:rPr>
      </w:pPr>
      <w:r>
        <w:rPr>
          <w:rFonts w:hint="eastAsia" w:cs="阿里巴巴普惠体 R" w:asciiTheme="minorEastAsia" w:hAnsiTheme="minorEastAsia" w:eastAsiaTheme="minorEastAsia"/>
          <w:b/>
          <w:bCs/>
          <w:lang w:eastAsia="zh-CN"/>
        </w:rPr>
        <w:t>采购</w:t>
      </w:r>
      <w:r>
        <w:rPr>
          <w:rFonts w:hint="eastAsia" w:cs="阿里巴巴普惠体 R" w:asciiTheme="minorEastAsia" w:hAnsiTheme="minorEastAsia" w:eastAsiaTheme="minorEastAsia"/>
          <w:b/>
          <w:bCs/>
        </w:rPr>
        <w:t>内容</w:t>
      </w:r>
      <w:r>
        <w:rPr>
          <w:rFonts w:hint="eastAsia" w:cs="阿里巴巴普惠体 R" w:asciiTheme="minorEastAsia" w:hAnsiTheme="minorEastAsia" w:eastAsiaTheme="minorEastAsia"/>
          <w:b/>
          <w:bCs/>
          <w:lang w:eastAsia="zh-CN"/>
        </w:rPr>
        <w:t>及需求</w:t>
      </w:r>
      <w:r>
        <w:rPr>
          <w:rFonts w:hint="eastAsia" w:cs="阿里巴巴普惠体 R" w:asciiTheme="minorEastAsia" w:hAnsiTheme="minorEastAsia" w:eastAsiaTheme="minorEastAsia"/>
          <w:b/>
          <w:bCs/>
        </w:rPr>
        <w:t>：</w:t>
      </w:r>
    </w:p>
    <w:p>
      <w:pPr>
        <w:pStyle w:val="2"/>
        <w:rPr>
          <w:rFonts w:hint="default" w:ascii="Times New Roman" w:hAnsi="宋体" w:eastAsia="宋体" w:cs="Times New Roman"/>
          <w:sz w:val="24"/>
          <w:szCs w:val="24"/>
          <w:lang w:val="en-US" w:eastAsia="zh-CN" w:bidi="ar-SA"/>
        </w:rPr>
      </w:pPr>
      <w:r>
        <w:rPr>
          <w:rFonts w:hint="eastAsia" w:cs="阿里巴巴普惠体 R" w:asciiTheme="minorEastAsia" w:hAnsiTheme="minorEastAsia" w:eastAsiaTheme="minorEastAsia"/>
          <w:b/>
          <w:bCs/>
          <w:lang w:val="en-US" w:eastAsia="zh-CN"/>
        </w:rPr>
        <w:t xml:space="preserve">  </w:t>
      </w:r>
      <w:r>
        <w:rPr>
          <w:rFonts w:hint="eastAsia" w:ascii="Times New Roman" w:hAnsi="宋体" w:eastAsia="宋体" w:cs="Times New Roman"/>
          <w:sz w:val="24"/>
          <w:szCs w:val="24"/>
          <w:lang w:val="en-US" w:eastAsia="zh-CN" w:bidi="ar-SA"/>
        </w:rPr>
        <w:t>预算金额</w:t>
      </w:r>
      <w:r>
        <w:rPr>
          <w:rFonts w:hint="eastAsia" w:hAnsi="宋体" w:cs="Times New Roman"/>
          <w:sz w:val="24"/>
          <w:szCs w:val="24"/>
          <w:lang w:val="en-US" w:eastAsia="zh-CN" w:bidi="ar-SA"/>
        </w:rPr>
        <w:t>：6万</w:t>
      </w:r>
    </w:p>
    <w:p>
      <w:pPr>
        <w:widowControl/>
        <w:spacing w:line="360" w:lineRule="auto"/>
        <w:jc w:val="left"/>
        <w:rPr>
          <w:rFonts w:hint="eastAsia" w:ascii="宋体" w:hAnsi="宋体"/>
          <w:sz w:val="24"/>
          <w:lang w:eastAsia="zh-CN"/>
        </w:rPr>
      </w:pPr>
      <w:r>
        <w:rPr>
          <w:rFonts w:hint="eastAsia" w:hAnsi="宋体"/>
          <w:sz w:val="24"/>
          <w:szCs w:val="24"/>
        </w:rPr>
        <w:t xml:space="preserve"> </w:t>
      </w:r>
      <w:r>
        <w:rPr>
          <w:rFonts w:hint="eastAsia" w:hAnsi="宋体"/>
          <w:sz w:val="24"/>
          <w:szCs w:val="24"/>
          <w:lang w:val="en-US" w:eastAsia="zh-CN"/>
        </w:rPr>
        <w:t xml:space="preserve">           </w:t>
      </w:r>
      <w:r>
        <w:rPr>
          <w:rFonts w:hint="eastAsia" w:hAnsi="宋体"/>
          <w:sz w:val="24"/>
          <w:szCs w:val="24"/>
        </w:rPr>
        <w:t xml:space="preserve"> </w:t>
      </w:r>
      <w:r>
        <w:rPr>
          <w:rFonts w:hint="eastAsia" w:ascii="宋体" w:hAnsi="宋体"/>
          <w:sz w:val="24"/>
        </w:rPr>
        <w:t>燃气调压箱</w:t>
      </w:r>
      <w:r>
        <w:rPr>
          <w:rFonts w:hint="eastAsia" w:ascii="宋体" w:hAnsi="宋体"/>
          <w:sz w:val="24"/>
          <w:u w:val="single"/>
        </w:rPr>
        <w:t xml:space="preserve"> </w:t>
      </w:r>
      <w:r>
        <w:rPr>
          <w:rFonts w:hint="eastAsia" w:ascii="宋体" w:hAnsi="宋体"/>
          <w:sz w:val="24"/>
          <w:u w:val="single"/>
          <w:lang w:val="en-US" w:eastAsia="zh-CN"/>
        </w:rPr>
        <w:t>3</w:t>
      </w:r>
      <w:r>
        <w:rPr>
          <w:rFonts w:hint="eastAsia" w:ascii="宋体" w:hAnsi="宋体"/>
          <w:sz w:val="24"/>
          <w:u w:val="single"/>
        </w:rPr>
        <w:t xml:space="preserve"> </w:t>
      </w:r>
      <w:r>
        <w:rPr>
          <w:rFonts w:hint="eastAsia" w:ascii="宋体" w:hAnsi="宋体"/>
          <w:sz w:val="24"/>
        </w:rPr>
        <w:t xml:space="preserve">台 </w:t>
      </w:r>
      <w:r>
        <w:rPr>
          <w:rFonts w:hint="eastAsia" w:ascii="宋体" w:hAnsi="宋体"/>
          <w:sz w:val="24"/>
          <w:lang w:eastAsia="zh-CN"/>
        </w:rPr>
        <w:t>：</w:t>
      </w:r>
    </w:p>
    <w:tbl>
      <w:tblPr>
        <w:tblStyle w:val="20"/>
        <w:tblW w:w="7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533"/>
        <w:gridCol w:w="305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spacing w:line="360" w:lineRule="auto"/>
              <w:jc w:val="center"/>
              <w:rPr>
                <w:rFonts w:hint="eastAsia" w:cs="仿宋_GB2312" w:asciiTheme="minorEastAsia" w:hAnsiTheme="minorEastAsia" w:eastAsiaTheme="minorEastAsia"/>
                <w:b/>
                <w:bCs/>
                <w:shd w:val="clear" w:color="auto" w:fill="FFFFFF"/>
                <w:vertAlign w:val="baseline"/>
                <w:lang w:val="en-US" w:eastAsia="zh-CN" w:bidi="ar"/>
              </w:rPr>
            </w:pPr>
            <w:r>
              <w:rPr>
                <w:rFonts w:hint="eastAsia" w:cs="仿宋_GB2312" w:asciiTheme="minorEastAsia" w:hAnsiTheme="minorEastAsia" w:eastAsiaTheme="minorEastAsia"/>
                <w:b/>
                <w:bCs/>
                <w:shd w:val="clear" w:color="auto" w:fill="FFFFFF"/>
                <w:vertAlign w:val="baseline"/>
                <w:lang w:val="en-US" w:eastAsia="zh-CN" w:bidi="ar"/>
              </w:rPr>
              <w:t>序号</w:t>
            </w:r>
          </w:p>
        </w:tc>
        <w:tc>
          <w:tcPr>
            <w:tcW w:w="2533" w:type="dxa"/>
            <w:vAlign w:val="center"/>
          </w:tcPr>
          <w:p>
            <w:pPr>
              <w:widowControl/>
              <w:spacing w:line="360" w:lineRule="auto"/>
              <w:jc w:val="center"/>
              <w:rPr>
                <w:rFonts w:hint="eastAsia" w:cs="仿宋_GB2312" w:asciiTheme="minorEastAsia" w:hAnsiTheme="minorEastAsia" w:eastAsiaTheme="minorEastAsia"/>
                <w:b/>
                <w:bCs/>
                <w:shd w:val="clear" w:color="auto" w:fill="FFFFFF"/>
                <w:vertAlign w:val="baseline"/>
                <w:lang w:val="en-US" w:eastAsia="zh-CN" w:bidi="ar"/>
              </w:rPr>
            </w:pPr>
            <w:r>
              <w:rPr>
                <w:rFonts w:hint="eastAsia" w:cs="仿宋_GB2312" w:asciiTheme="minorEastAsia" w:hAnsiTheme="minorEastAsia" w:eastAsiaTheme="minorEastAsia"/>
                <w:b/>
                <w:bCs/>
                <w:shd w:val="clear" w:color="auto" w:fill="FFFFFF"/>
                <w:vertAlign w:val="baseline"/>
                <w:lang w:val="en-US" w:eastAsia="zh-CN" w:bidi="ar"/>
              </w:rPr>
              <w:t>设备名称</w:t>
            </w:r>
          </w:p>
        </w:tc>
        <w:tc>
          <w:tcPr>
            <w:tcW w:w="3055" w:type="dxa"/>
            <w:vAlign w:val="center"/>
          </w:tcPr>
          <w:p>
            <w:pPr>
              <w:widowControl/>
              <w:spacing w:line="360" w:lineRule="auto"/>
              <w:jc w:val="center"/>
              <w:rPr>
                <w:rFonts w:hint="eastAsia" w:cs="仿宋_GB2312" w:asciiTheme="minorEastAsia" w:hAnsiTheme="minorEastAsia" w:eastAsiaTheme="minorEastAsia"/>
                <w:b/>
                <w:bCs/>
                <w:shd w:val="clear" w:color="auto" w:fill="FFFFFF"/>
                <w:vertAlign w:val="baseline"/>
                <w:lang w:val="en-US" w:eastAsia="zh-CN" w:bidi="ar"/>
              </w:rPr>
            </w:pPr>
            <w:r>
              <w:rPr>
                <w:rFonts w:hint="eastAsia" w:cs="仿宋_GB2312" w:asciiTheme="minorEastAsia" w:hAnsiTheme="minorEastAsia" w:eastAsiaTheme="minorEastAsia"/>
                <w:b/>
                <w:bCs/>
                <w:shd w:val="clear" w:color="auto" w:fill="FFFFFF"/>
                <w:vertAlign w:val="baseline"/>
                <w:lang w:val="en-US" w:eastAsia="zh-CN" w:bidi="ar"/>
              </w:rPr>
              <w:t>品牌型号</w:t>
            </w:r>
          </w:p>
        </w:tc>
        <w:tc>
          <w:tcPr>
            <w:tcW w:w="1448" w:type="dxa"/>
            <w:vAlign w:val="center"/>
          </w:tcPr>
          <w:p>
            <w:pPr>
              <w:widowControl/>
              <w:spacing w:line="360" w:lineRule="auto"/>
              <w:jc w:val="center"/>
              <w:rPr>
                <w:rFonts w:hint="eastAsia" w:cs="仿宋_GB2312" w:asciiTheme="minorEastAsia" w:hAnsiTheme="minorEastAsia" w:eastAsiaTheme="minorEastAsia"/>
                <w:b/>
                <w:bCs/>
                <w:shd w:val="clear" w:color="auto" w:fill="FFFFFF"/>
                <w:vertAlign w:val="baseline"/>
                <w:lang w:val="en-US" w:eastAsia="zh-CN" w:bidi="ar"/>
              </w:rPr>
            </w:pPr>
            <w:r>
              <w:rPr>
                <w:rFonts w:hint="eastAsia" w:cs="仿宋_GB2312" w:asciiTheme="minorEastAsia" w:hAnsiTheme="minorEastAsia" w:eastAsiaTheme="minorEastAsia"/>
                <w:b/>
                <w:bCs/>
                <w:shd w:val="clear" w:color="auto" w:fill="FFFFFF"/>
                <w:vertAlign w:val="baseline"/>
                <w:lang w:val="en-US" w:eastAsia="zh-CN" w:bidi="ar"/>
              </w:rPr>
              <w:t>单位（台）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spacing w:line="360" w:lineRule="auto"/>
              <w:jc w:val="center"/>
              <w:rPr>
                <w:rFonts w:hint="default" w:cs="仿宋_GB2312" w:asciiTheme="minorEastAsia" w:hAnsiTheme="minorEastAsia" w:eastAsiaTheme="minorEastAsia"/>
                <w:shd w:val="clear" w:color="auto" w:fill="FFFFFF"/>
                <w:vertAlign w:val="baseline"/>
                <w:lang w:val="en-US" w:eastAsia="zh-CN" w:bidi="ar"/>
              </w:rPr>
            </w:pPr>
            <w:r>
              <w:rPr>
                <w:rFonts w:hint="eastAsia" w:cs="仿宋_GB2312" w:asciiTheme="minorEastAsia" w:hAnsiTheme="minorEastAsia" w:eastAsiaTheme="minorEastAsia"/>
                <w:shd w:val="clear" w:color="auto" w:fill="FFFFFF"/>
                <w:vertAlign w:val="baseline"/>
                <w:lang w:val="en-US" w:eastAsia="zh-CN" w:bidi="ar"/>
              </w:rPr>
              <w:t>1</w:t>
            </w:r>
          </w:p>
        </w:tc>
        <w:tc>
          <w:tcPr>
            <w:tcW w:w="2533" w:type="dxa"/>
            <w:vAlign w:val="center"/>
          </w:tcPr>
          <w:p>
            <w:pPr>
              <w:widowControl/>
              <w:spacing w:line="360" w:lineRule="auto"/>
              <w:jc w:val="center"/>
              <w:rPr>
                <w:rFonts w:hint="default" w:cs="仿宋_GB2312" w:asciiTheme="minorEastAsia" w:hAnsiTheme="minorEastAsia" w:eastAsiaTheme="minorEastAsia"/>
                <w:shd w:val="clear" w:color="auto" w:fill="FFFFFF"/>
                <w:vertAlign w:val="baseline"/>
                <w:lang w:val="en-US" w:eastAsia="zh-CN" w:bidi="ar"/>
              </w:rPr>
            </w:pPr>
            <w:r>
              <w:rPr>
                <w:rFonts w:hint="eastAsia" w:cs="仿宋_GB2312" w:asciiTheme="minorEastAsia" w:hAnsiTheme="minorEastAsia" w:eastAsiaTheme="minorEastAsia"/>
                <w:shd w:val="clear" w:color="auto" w:fill="FFFFFF"/>
                <w:vertAlign w:val="baseline"/>
                <w:lang w:val="en-US" w:eastAsia="zh-CN" w:bidi="ar"/>
              </w:rPr>
              <w:t>中压A1箱</w:t>
            </w:r>
          </w:p>
        </w:tc>
        <w:tc>
          <w:tcPr>
            <w:tcW w:w="3055" w:type="dxa"/>
            <w:vAlign w:val="center"/>
          </w:tcPr>
          <w:p>
            <w:pPr>
              <w:widowControl/>
              <w:spacing w:line="360" w:lineRule="auto"/>
              <w:jc w:val="center"/>
              <w:rPr>
                <w:rFonts w:hint="default" w:cs="仿宋_GB2312" w:asciiTheme="minorEastAsia" w:hAnsiTheme="minorEastAsia" w:eastAsiaTheme="minorEastAsia"/>
                <w:shd w:val="clear" w:color="auto" w:fill="FFFFFF"/>
                <w:vertAlign w:val="baseline"/>
                <w:lang w:val="en-US" w:eastAsia="zh-CN" w:bidi="ar"/>
              </w:rPr>
            </w:pPr>
            <w:r>
              <w:rPr>
                <w:rFonts w:hint="eastAsia" w:cs="仿宋_GB2312" w:asciiTheme="minorEastAsia" w:hAnsiTheme="minorEastAsia" w:eastAsiaTheme="minorEastAsia"/>
                <w:shd w:val="clear" w:color="auto" w:fill="FFFFFF"/>
                <w:vertAlign w:val="baseline"/>
                <w:lang w:val="en-US" w:eastAsia="zh-CN" w:bidi="ar"/>
              </w:rPr>
              <w:t>久安RTZ/150/SE 4000</w:t>
            </w:r>
          </w:p>
        </w:tc>
        <w:tc>
          <w:tcPr>
            <w:tcW w:w="1448" w:type="dxa"/>
            <w:vAlign w:val="center"/>
          </w:tcPr>
          <w:p>
            <w:pPr>
              <w:widowControl/>
              <w:spacing w:line="360" w:lineRule="auto"/>
              <w:jc w:val="center"/>
              <w:rPr>
                <w:rFonts w:hint="default" w:cs="仿宋_GB2312" w:asciiTheme="minorEastAsia" w:hAnsiTheme="minorEastAsia" w:eastAsiaTheme="minorEastAsia"/>
                <w:shd w:val="clear" w:color="auto" w:fill="FFFFFF"/>
                <w:vertAlign w:val="baseline"/>
                <w:lang w:val="en-US" w:eastAsia="zh-CN" w:bidi="ar"/>
              </w:rPr>
            </w:pPr>
            <w:r>
              <w:rPr>
                <w:rFonts w:hint="eastAsia" w:cs="仿宋_GB2312" w:asciiTheme="minorEastAsia" w:hAnsiTheme="minorEastAsia" w:eastAsiaTheme="minorEastAsia"/>
                <w:shd w:val="clear" w:color="auto" w:fill="FFFFFF"/>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spacing w:line="360" w:lineRule="auto"/>
              <w:jc w:val="center"/>
              <w:rPr>
                <w:rFonts w:hint="default" w:cs="仿宋_GB2312" w:asciiTheme="minorEastAsia" w:hAnsiTheme="minorEastAsia" w:eastAsiaTheme="minorEastAsia"/>
                <w:shd w:val="clear" w:color="auto" w:fill="FFFFFF"/>
                <w:vertAlign w:val="baseline"/>
                <w:lang w:val="en-US" w:eastAsia="zh-CN" w:bidi="ar"/>
              </w:rPr>
            </w:pPr>
            <w:r>
              <w:rPr>
                <w:rFonts w:hint="eastAsia" w:cs="仿宋_GB2312" w:asciiTheme="minorEastAsia" w:hAnsiTheme="minorEastAsia" w:eastAsiaTheme="minorEastAsia"/>
                <w:shd w:val="clear" w:color="auto" w:fill="FFFFFF"/>
                <w:vertAlign w:val="baseline"/>
                <w:lang w:val="en-US" w:eastAsia="zh-CN" w:bidi="ar"/>
              </w:rPr>
              <w:t>2</w:t>
            </w:r>
          </w:p>
        </w:tc>
        <w:tc>
          <w:tcPr>
            <w:tcW w:w="2533" w:type="dxa"/>
            <w:vAlign w:val="center"/>
          </w:tcPr>
          <w:p>
            <w:pPr>
              <w:widowControl/>
              <w:spacing w:line="360" w:lineRule="auto"/>
              <w:jc w:val="center"/>
              <w:rPr>
                <w:rFonts w:hint="default" w:cs="仿宋_GB2312" w:asciiTheme="minorEastAsia" w:hAnsiTheme="minorEastAsia" w:eastAsiaTheme="minorEastAsia"/>
                <w:shd w:val="clear" w:color="auto" w:fill="FFFFFF"/>
                <w:vertAlign w:val="baseline"/>
                <w:lang w:val="en-US" w:eastAsia="zh-CN" w:bidi="ar"/>
              </w:rPr>
            </w:pPr>
            <w:r>
              <w:rPr>
                <w:rFonts w:hint="eastAsia" w:cs="仿宋_GB2312" w:asciiTheme="minorEastAsia" w:hAnsiTheme="minorEastAsia" w:eastAsiaTheme="minorEastAsia"/>
                <w:shd w:val="clear" w:color="auto" w:fill="FFFFFF"/>
                <w:vertAlign w:val="baseline"/>
                <w:lang w:val="en-US" w:eastAsia="zh-CN" w:bidi="ar"/>
              </w:rPr>
              <w:t>二期中压A1箱</w:t>
            </w:r>
          </w:p>
        </w:tc>
        <w:tc>
          <w:tcPr>
            <w:tcW w:w="3055" w:type="dxa"/>
            <w:vAlign w:val="center"/>
          </w:tcPr>
          <w:p>
            <w:pPr>
              <w:widowControl/>
              <w:spacing w:line="360" w:lineRule="auto"/>
              <w:jc w:val="center"/>
              <w:rPr>
                <w:rFonts w:hint="default" w:cs="仿宋_GB2312" w:asciiTheme="minorEastAsia" w:hAnsiTheme="minorEastAsia" w:eastAsiaTheme="minorEastAsia"/>
                <w:shd w:val="clear" w:color="auto" w:fill="FFFFFF"/>
                <w:vertAlign w:val="baseline"/>
                <w:lang w:val="en-US" w:eastAsia="zh-CN" w:bidi="ar"/>
              </w:rPr>
            </w:pPr>
            <w:r>
              <w:rPr>
                <w:rFonts w:hint="eastAsia" w:cs="仿宋_GB2312" w:asciiTheme="minorEastAsia" w:hAnsiTheme="minorEastAsia" w:eastAsiaTheme="minorEastAsia"/>
                <w:shd w:val="clear" w:color="auto" w:fill="FFFFFF"/>
                <w:vertAlign w:val="baseline"/>
                <w:lang w:val="en-US" w:eastAsia="zh-CN" w:bidi="ar"/>
              </w:rPr>
              <w:t>安信RX600/0.4D 600</w:t>
            </w:r>
          </w:p>
        </w:tc>
        <w:tc>
          <w:tcPr>
            <w:tcW w:w="1448" w:type="dxa"/>
            <w:vAlign w:val="center"/>
          </w:tcPr>
          <w:p>
            <w:pPr>
              <w:widowControl/>
              <w:spacing w:line="360" w:lineRule="auto"/>
              <w:jc w:val="center"/>
              <w:rPr>
                <w:rFonts w:hint="default" w:cs="仿宋_GB2312" w:asciiTheme="minorEastAsia" w:hAnsiTheme="minorEastAsia" w:eastAsiaTheme="minorEastAsia"/>
                <w:shd w:val="clear" w:color="auto" w:fill="FFFFFF"/>
                <w:vertAlign w:val="baseline"/>
                <w:lang w:val="en-US" w:eastAsia="zh-CN" w:bidi="ar"/>
              </w:rPr>
            </w:pPr>
            <w:r>
              <w:rPr>
                <w:rFonts w:hint="eastAsia" w:cs="仿宋_GB2312" w:asciiTheme="minorEastAsia" w:hAnsiTheme="minorEastAsia" w:eastAsiaTheme="minorEastAsia"/>
                <w:shd w:val="clear" w:color="auto" w:fill="FFFFFF"/>
                <w:vertAlign w:val="baseli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7" w:type="dxa"/>
            <w:vAlign w:val="center"/>
          </w:tcPr>
          <w:p>
            <w:pPr>
              <w:widowControl/>
              <w:spacing w:line="360" w:lineRule="auto"/>
              <w:jc w:val="center"/>
              <w:rPr>
                <w:rFonts w:hint="default" w:cs="仿宋_GB2312" w:asciiTheme="minorEastAsia" w:hAnsiTheme="minorEastAsia" w:eastAsiaTheme="minorEastAsia"/>
                <w:shd w:val="clear" w:color="auto" w:fill="FFFFFF"/>
                <w:vertAlign w:val="baseline"/>
                <w:lang w:val="en-US" w:eastAsia="zh-CN" w:bidi="ar"/>
              </w:rPr>
            </w:pPr>
            <w:r>
              <w:rPr>
                <w:rFonts w:hint="eastAsia" w:cs="仿宋_GB2312" w:asciiTheme="minorEastAsia" w:hAnsiTheme="minorEastAsia" w:eastAsiaTheme="minorEastAsia"/>
                <w:shd w:val="clear" w:color="auto" w:fill="FFFFFF"/>
                <w:vertAlign w:val="baseline"/>
                <w:lang w:val="en-US" w:eastAsia="zh-CN" w:bidi="ar"/>
              </w:rPr>
              <w:t>3</w:t>
            </w:r>
          </w:p>
        </w:tc>
        <w:tc>
          <w:tcPr>
            <w:tcW w:w="2533" w:type="dxa"/>
            <w:vAlign w:val="center"/>
          </w:tcPr>
          <w:p>
            <w:pPr>
              <w:widowControl/>
              <w:spacing w:line="360" w:lineRule="auto"/>
              <w:jc w:val="center"/>
              <w:rPr>
                <w:rFonts w:hint="default" w:cs="仿宋_GB2312" w:asciiTheme="minorEastAsia" w:hAnsiTheme="minorEastAsia" w:eastAsiaTheme="minorEastAsia"/>
                <w:shd w:val="clear" w:color="auto" w:fill="FFFFFF"/>
                <w:vertAlign w:val="baseline"/>
                <w:lang w:val="en-US" w:eastAsia="zh-CN" w:bidi="ar"/>
              </w:rPr>
            </w:pPr>
            <w:r>
              <w:rPr>
                <w:rFonts w:hint="eastAsia" w:cs="仿宋_GB2312" w:asciiTheme="minorEastAsia" w:hAnsiTheme="minorEastAsia" w:eastAsiaTheme="minorEastAsia"/>
                <w:shd w:val="clear" w:color="auto" w:fill="FFFFFF"/>
                <w:vertAlign w:val="baseline"/>
                <w:lang w:val="en-US" w:eastAsia="zh-CN" w:bidi="ar"/>
              </w:rPr>
              <w:t>二期中压A2箱</w:t>
            </w:r>
          </w:p>
        </w:tc>
        <w:tc>
          <w:tcPr>
            <w:tcW w:w="3055" w:type="dxa"/>
            <w:vAlign w:val="center"/>
          </w:tcPr>
          <w:p>
            <w:pPr>
              <w:widowControl/>
              <w:spacing w:line="360" w:lineRule="auto"/>
              <w:jc w:val="center"/>
              <w:rPr>
                <w:rFonts w:hint="default" w:cs="仿宋_GB2312" w:asciiTheme="minorEastAsia" w:hAnsiTheme="minorEastAsia" w:eastAsiaTheme="minorEastAsia"/>
                <w:shd w:val="clear" w:color="auto" w:fill="FFFFFF"/>
                <w:vertAlign w:val="baseline"/>
                <w:lang w:val="en-US" w:eastAsia="zh-CN" w:bidi="ar"/>
              </w:rPr>
            </w:pPr>
            <w:r>
              <w:rPr>
                <w:rFonts w:hint="eastAsia" w:cs="仿宋_GB2312" w:asciiTheme="minorEastAsia" w:hAnsiTheme="minorEastAsia" w:eastAsiaTheme="minorEastAsia"/>
                <w:shd w:val="clear" w:color="auto" w:fill="FFFFFF"/>
                <w:vertAlign w:val="baseline"/>
                <w:lang w:val="en-US" w:eastAsia="zh-CN" w:bidi="ar"/>
              </w:rPr>
              <w:t>安信 RX600/0.4D 600</w:t>
            </w:r>
          </w:p>
        </w:tc>
        <w:tc>
          <w:tcPr>
            <w:tcW w:w="1448" w:type="dxa"/>
            <w:vAlign w:val="center"/>
          </w:tcPr>
          <w:p>
            <w:pPr>
              <w:widowControl/>
              <w:spacing w:line="360" w:lineRule="auto"/>
              <w:jc w:val="center"/>
              <w:rPr>
                <w:rFonts w:hint="default" w:cs="仿宋_GB2312" w:asciiTheme="minorEastAsia" w:hAnsiTheme="minorEastAsia" w:eastAsiaTheme="minorEastAsia"/>
                <w:shd w:val="clear" w:color="auto" w:fill="FFFFFF"/>
                <w:vertAlign w:val="baseline"/>
                <w:lang w:val="en-US" w:eastAsia="zh-CN" w:bidi="ar"/>
              </w:rPr>
            </w:pPr>
            <w:r>
              <w:rPr>
                <w:rFonts w:hint="eastAsia" w:cs="仿宋_GB2312" w:asciiTheme="minorEastAsia" w:hAnsiTheme="minorEastAsia" w:eastAsiaTheme="minorEastAsia"/>
                <w:shd w:val="clear" w:color="auto" w:fill="FFFFFF"/>
                <w:vertAlign w:val="baseline"/>
                <w:lang w:val="en-US" w:eastAsia="zh-CN" w:bidi="ar"/>
              </w:rPr>
              <w:t>1</w:t>
            </w:r>
          </w:p>
        </w:tc>
      </w:tr>
    </w:tbl>
    <w:p>
      <w:pPr>
        <w:widowControl/>
        <w:spacing w:line="360" w:lineRule="auto"/>
        <w:ind w:firstLine="720" w:firstLineChars="300"/>
        <w:jc w:val="left"/>
        <w:rPr>
          <w:rFonts w:hint="eastAsia" w:cs="仿宋_GB2312" w:asciiTheme="minorEastAsia" w:hAnsiTheme="minorEastAsia" w:eastAsiaTheme="minorEastAsia"/>
          <w:shd w:val="clear" w:color="auto" w:fill="FFFFFF"/>
          <w:lang w:eastAsia="zh-CN" w:bidi="ar"/>
        </w:rPr>
      </w:pPr>
      <w:r>
        <w:rPr>
          <w:rFonts w:hint="eastAsia" w:cs="仿宋_GB2312" w:asciiTheme="minorEastAsia" w:hAnsiTheme="minorEastAsia" w:eastAsiaTheme="minorEastAsia"/>
          <w:shd w:val="clear" w:color="auto" w:fill="FFFFFF"/>
          <w:lang w:val="en-US" w:eastAsia="zh-CN" w:bidi="ar"/>
        </w:rPr>
        <w:t xml:space="preserve"> </w:t>
      </w:r>
    </w:p>
    <w:p>
      <w:pPr>
        <w:spacing w:line="360" w:lineRule="auto"/>
        <w:ind w:firstLine="240" w:firstLineChars="100"/>
        <w:rPr>
          <w:rFonts w:hint="eastAsia" w:ascii="宋体" w:hAnsi="宋体"/>
          <w:b w:val="0"/>
          <w:bCs w:val="0"/>
          <w:color w:val="auto"/>
          <w:sz w:val="24"/>
        </w:rPr>
      </w:pPr>
      <w:r>
        <w:rPr>
          <w:rFonts w:hint="eastAsia" w:ascii="宋体" w:hAnsi="宋体"/>
          <w:b w:val="0"/>
          <w:bCs w:val="0"/>
          <w:color w:val="auto"/>
          <w:sz w:val="24"/>
        </w:rPr>
        <w:t>1</w:t>
      </w:r>
      <w:r>
        <w:rPr>
          <w:rFonts w:hint="eastAsia" w:ascii="宋体" w:hAnsi="宋体"/>
          <w:b w:val="0"/>
          <w:bCs w:val="0"/>
          <w:color w:val="auto"/>
          <w:sz w:val="24"/>
          <w:lang w:eastAsia="zh-CN"/>
        </w:rPr>
        <w:t>、</w:t>
      </w:r>
      <w:r>
        <w:rPr>
          <w:rFonts w:hint="eastAsia" w:ascii="宋体" w:hAnsi="宋体"/>
          <w:b w:val="0"/>
          <w:bCs w:val="0"/>
          <w:color w:val="auto"/>
          <w:sz w:val="24"/>
        </w:rPr>
        <w:t>以甲方满意为最高目标，提供一流、优质服务；严格遵守甲方有关规章制度。</w:t>
      </w:r>
    </w:p>
    <w:p>
      <w:pPr>
        <w:spacing w:line="360" w:lineRule="auto"/>
        <w:ind w:firstLine="240" w:firstLineChars="100"/>
        <w:jc w:val="left"/>
        <w:rPr>
          <w:rFonts w:hint="eastAsia"/>
          <w:b w:val="0"/>
          <w:bCs w:val="0"/>
          <w:color w:val="auto"/>
          <w:sz w:val="24"/>
        </w:rPr>
      </w:pPr>
      <w:r>
        <w:rPr>
          <w:rFonts w:hint="eastAsia"/>
          <w:b w:val="0"/>
          <w:bCs w:val="0"/>
          <w:color w:val="auto"/>
          <w:sz w:val="24"/>
        </w:rPr>
        <w:t>2、服务团队应配备足够的专业人员，确保能够满足医院调压箱维修保养服务的需求。定期组织维修人员进行专业培训，不断提高其技术水平和服务质量。</w:t>
      </w:r>
    </w:p>
    <w:p>
      <w:pPr>
        <w:spacing w:line="360" w:lineRule="auto"/>
        <w:ind w:firstLine="240" w:firstLineChars="100"/>
        <w:jc w:val="left"/>
        <w:rPr>
          <w:rFonts w:hint="eastAsia"/>
          <w:b w:val="0"/>
          <w:bCs w:val="0"/>
          <w:color w:val="auto"/>
          <w:sz w:val="24"/>
        </w:rPr>
      </w:pPr>
      <w:r>
        <w:rPr>
          <w:rFonts w:hint="eastAsia"/>
          <w:b w:val="0"/>
          <w:bCs w:val="0"/>
          <w:color w:val="auto"/>
          <w:sz w:val="24"/>
        </w:rPr>
        <w:t>3、如有突发事故，承诺1小时赶到现场抢修，平时随叫随到。</w:t>
      </w:r>
    </w:p>
    <w:p>
      <w:pPr>
        <w:spacing w:line="360" w:lineRule="auto"/>
        <w:ind w:firstLine="240" w:firstLineChars="100"/>
        <w:jc w:val="left"/>
        <w:rPr>
          <w:rFonts w:hint="eastAsia"/>
          <w:b w:val="0"/>
          <w:bCs w:val="0"/>
          <w:color w:val="auto"/>
          <w:sz w:val="24"/>
        </w:rPr>
      </w:pPr>
      <w:r>
        <w:rPr>
          <w:rFonts w:hint="eastAsia"/>
          <w:b w:val="0"/>
          <w:bCs w:val="0"/>
          <w:color w:val="auto"/>
          <w:sz w:val="24"/>
          <w:lang w:val="en-US" w:eastAsia="zh-CN"/>
        </w:rPr>
        <w:t>4、</w:t>
      </w:r>
      <w:r>
        <w:rPr>
          <w:rFonts w:hint="eastAsia"/>
          <w:b w:val="0"/>
          <w:bCs w:val="0"/>
          <w:color w:val="auto"/>
          <w:sz w:val="24"/>
        </w:rPr>
        <w:t>故障维修完成后，应进行全面的调试和检测，确保调压箱的各项性能指标符合设计要求和相关标准规范。医院组织相关人员对维修结果进行验收，验收合格后签署维修验收报告。</w:t>
      </w:r>
    </w:p>
    <w:p>
      <w:pPr>
        <w:spacing w:line="360" w:lineRule="auto"/>
        <w:ind w:firstLine="240" w:firstLineChars="100"/>
        <w:rPr>
          <w:rFonts w:hint="eastAsia" w:ascii="宋体" w:hAnsi="宋体"/>
          <w:b w:val="0"/>
          <w:bCs w:val="0"/>
          <w:color w:val="auto"/>
          <w:sz w:val="24"/>
        </w:rPr>
      </w:pPr>
      <w:r>
        <w:rPr>
          <w:rFonts w:hint="eastAsia"/>
          <w:b w:val="0"/>
          <w:bCs w:val="0"/>
          <w:color w:val="auto"/>
          <w:sz w:val="24"/>
          <w:lang w:val="en-US" w:eastAsia="zh-CN"/>
        </w:rPr>
        <w:t>5、</w:t>
      </w:r>
      <w:r>
        <w:rPr>
          <w:rFonts w:hint="eastAsia"/>
          <w:b w:val="0"/>
          <w:bCs w:val="0"/>
          <w:color w:val="auto"/>
          <w:sz w:val="24"/>
        </w:rPr>
        <w:t>因乙方作业或抢修需降压、停气时，应及时通知甲方，甲方应给予配合。</w:t>
      </w:r>
    </w:p>
    <w:p>
      <w:pPr>
        <w:spacing w:line="360" w:lineRule="auto"/>
        <w:ind w:left="394" w:leftChars="114" w:hanging="120" w:hangingChars="50"/>
        <w:rPr>
          <w:rFonts w:hint="eastAsia"/>
          <w:b w:val="0"/>
          <w:bCs w:val="0"/>
          <w:color w:val="auto"/>
          <w:sz w:val="24"/>
        </w:rPr>
      </w:pPr>
      <w:r>
        <w:rPr>
          <w:rFonts w:hint="eastAsia"/>
          <w:b w:val="0"/>
          <w:bCs w:val="0"/>
          <w:color w:val="auto"/>
          <w:sz w:val="24"/>
          <w:lang w:val="en-US" w:eastAsia="zh-CN"/>
        </w:rPr>
        <w:t>6、</w:t>
      </w:r>
      <w:r>
        <w:rPr>
          <w:rFonts w:hint="eastAsia"/>
          <w:b w:val="0"/>
          <w:bCs w:val="0"/>
          <w:color w:val="auto"/>
          <w:sz w:val="24"/>
        </w:rPr>
        <w:t>乙方受甲方委托代管期间，因乙方管理不善等原因造成的责任事故，由乙方承担责任和赔偿经济损失。</w:t>
      </w:r>
    </w:p>
    <w:p>
      <w:pPr>
        <w:spacing w:line="360" w:lineRule="auto"/>
        <w:ind w:left="394" w:leftChars="114" w:hanging="120" w:hangingChars="50"/>
        <w:rPr>
          <w:rFonts w:hint="eastAsia"/>
          <w:b w:val="0"/>
          <w:bCs w:val="0"/>
          <w:color w:val="auto"/>
          <w:sz w:val="24"/>
        </w:rPr>
      </w:pPr>
      <w:r>
        <w:rPr>
          <w:rFonts w:hint="eastAsia"/>
          <w:b w:val="0"/>
          <w:bCs w:val="0"/>
          <w:color w:val="auto"/>
          <w:sz w:val="24"/>
          <w:lang w:val="en-US" w:eastAsia="zh-CN"/>
        </w:rPr>
        <w:t>7、</w:t>
      </w:r>
      <w:r>
        <w:rPr>
          <w:rFonts w:hint="eastAsia"/>
          <w:b w:val="0"/>
          <w:bCs w:val="0"/>
          <w:color w:val="auto"/>
          <w:sz w:val="24"/>
        </w:rPr>
        <w:t>乙方免费对调压箱进行一次（本合同生效初始）全面的检修、更换易损、老化部件、建立保养手册，对所代管的燃气管线及管线设施严格按照燃气专业管理单位的有关规定，进行运行管理和维护、检修，并进行每月一次的设备巡检、加以记录。</w:t>
      </w:r>
    </w:p>
    <w:p>
      <w:pPr>
        <w:spacing w:line="360" w:lineRule="auto"/>
        <w:ind w:left="274" w:leftChars="114" w:firstLine="0" w:firstLineChars="0"/>
        <w:rPr>
          <w:rFonts w:hint="eastAsia"/>
          <w:b w:val="0"/>
          <w:bCs w:val="0"/>
          <w:color w:val="auto"/>
          <w:sz w:val="24"/>
          <w:lang w:eastAsia="zh-CN"/>
        </w:rPr>
      </w:pPr>
      <w:r>
        <w:rPr>
          <w:rFonts w:hint="eastAsia"/>
          <w:b w:val="0"/>
          <w:bCs w:val="0"/>
          <w:color w:val="auto"/>
          <w:sz w:val="24"/>
          <w:lang w:val="en-US" w:eastAsia="zh-CN"/>
        </w:rPr>
        <w:t>8、</w:t>
      </w:r>
      <w:r>
        <w:rPr>
          <w:rFonts w:hint="eastAsia"/>
          <w:b w:val="0"/>
          <w:bCs w:val="0"/>
          <w:color w:val="auto"/>
          <w:sz w:val="24"/>
        </w:rPr>
        <w:t>在合同期限内如遇更换设备易损配件，乙方负责免费更换</w:t>
      </w:r>
      <w:r>
        <w:rPr>
          <w:rFonts w:hint="eastAsia"/>
          <w:b w:val="0"/>
          <w:bCs w:val="0"/>
          <w:color w:val="auto"/>
          <w:sz w:val="24"/>
          <w:lang w:eastAsia="zh-CN"/>
        </w:rPr>
        <w:t>。服务费用应包含维修保养所需的人工、材料、设备、交通等一切费用。</w:t>
      </w:r>
    </w:p>
    <w:p>
      <w:pPr>
        <w:spacing w:line="360" w:lineRule="auto"/>
        <w:ind w:left="274" w:leftChars="114" w:firstLine="0" w:firstLineChars="0"/>
        <w:rPr>
          <w:rFonts w:hint="eastAsia"/>
          <w:b w:val="0"/>
          <w:bCs w:val="0"/>
          <w:color w:val="auto"/>
          <w:sz w:val="24"/>
          <w:lang w:val="en-US" w:eastAsia="zh-CN"/>
        </w:rPr>
      </w:pPr>
      <w:r>
        <w:rPr>
          <w:rFonts w:hint="eastAsia"/>
          <w:b w:val="0"/>
          <w:bCs w:val="0"/>
          <w:color w:val="auto"/>
          <w:sz w:val="24"/>
          <w:lang w:val="en-US" w:eastAsia="zh-CN"/>
        </w:rPr>
        <w:t>9、每年对压力表进行免费检测及给甲方提供检测报告。</w:t>
      </w:r>
      <w:bookmarkEnd w:id="7"/>
      <w:bookmarkEnd w:id="8"/>
      <w:bookmarkEnd w:id="9"/>
      <w:bookmarkEnd w:id="10"/>
      <w:bookmarkEnd w:id="11"/>
    </w:p>
    <w:p>
      <w:pPr>
        <w:pStyle w:val="2"/>
        <w:rPr>
          <w:rFonts w:hint="eastAsia"/>
          <w:lang w:val="en-US" w:eastAsia="zh-CN"/>
        </w:rPr>
      </w:pPr>
    </w:p>
    <w:p>
      <w:pPr>
        <w:pStyle w:val="2"/>
        <w:rPr>
          <w:rFonts w:hint="eastAsia"/>
          <w:b w:val="0"/>
          <w:bCs w:val="0"/>
          <w:color w:val="auto"/>
          <w:sz w:val="24"/>
          <w:lang w:val="en-US" w:eastAsia="zh-CN"/>
        </w:rPr>
      </w:pPr>
      <w:r>
        <w:rPr>
          <w:rFonts w:hint="eastAsia"/>
          <w:b/>
          <w:bCs/>
          <w:color w:val="auto"/>
          <w:sz w:val="24"/>
          <w:lang w:val="en-US" w:eastAsia="zh-CN"/>
        </w:rPr>
        <w:t>服务供应商资质要求</w:t>
      </w:r>
    </w:p>
    <w:p>
      <w:pPr>
        <w:pStyle w:val="2"/>
        <w:ind w:left="0" w:leftChars="0" w:firstLine="480" w:firstLineChars="200"/>
        <w:rPr>
          <w:rFonts w:hint="eastAsia"/>
          <w:b w:val="0"/>
          <w:bCs w:val="0"/>
          <w:color w:val="auto"/>
          <w:sz w:val="24"/>
          <w:lang w:val="en-US" w:eastAsia="zh-CN"/>
        </w:rPr>
      </w:pPr>
      <w:r>
        <w:rPr>
          <w:rFonts w:hint="eastAsia"/>
          <w:b w:val="0"/>
          <w:bCs w:val="0"/>
          <w:color w:val="auto"/>
          <w:sz w:val="24"/>
          <w:lang w:val="en-US" w:eastAsia="zh-CN"/>
        </w:rPr>
        <w:t>1. 具有独立法人资格，持有有效的营业执照。</w:t>
      </w:r>
    </w:p>
    <w:p>
      <w:pPr>
        <w:pStyle w:val="2"/>
        <w:ind w:left="0" w:leftChars="0" w:firstLine="480" w:firstLineChars="200"/>
        <w:rPr>
          <w:rFonts w:hint="eastAsia"/>
          <w:b w:val="0"/>
          <w:bCs w:val="0"/>
          <w:color w:val="auto"/>
          <w:sz w:val="24"/>
          <w:lang w:val="en-US" w:eastAsia="zh-CN"/>
        </w:rPr>
      </w:pPr>
      <w:r>
        <w:rPr>
          <w:rFonts w:hint="eastAsia"/>
          <w:b w:val="0"/>
          <w:bCs w:val="0"/>
          <w:color w:val="auto"/>
          <w:sz w:val="24"/>
          <w:lang w:val="en-US" w:eastAsia="zh-CN"/>
        </w:rPr>
        <w:t>2. 具有履行合同所必需的设备和专业技术能力，提供技术人员证明材料。</w:t>
      </w:r>
    </w:p>
    <w:p>
      <w:pPr>
        <w:pStyle w:val="2"/>
        <w:ind w:left="0" w:leftChars="0" w:firstLine="480" w:firstLineChars="200"/>
        <w:rPr>
          <w:rFonts w:hint="eastAsia"/>
          <w:b w:val="0"/>
          <w:bCs w:val="0"/>
          <w:color w:val="auto"/>
          <w:sz w:val="24"/>
          <w:lang w:val="en-US" w:eastAsia="zh-CN"/>
        </w:rPr>
      </w:pPr>
      <w:r>
        <w:rPr>
          <w:rFonts w:hint="eastAsia"/>
          <w:b w:val="0"/>
          <w:bCs w:val="0"/>
          <w:color w:val="auto"/>
          <w:sz w:val="24"/>
          <w:lang w:val="en-US" w:eastAsia="zh-CN"/>
        </w:rPr>
        <w:t>3.</w:t>
      </w:r>
      <w:bookmarkStart w:id="13" w:name="_GoBack"/>
      <w:bookmarkStart w:id="12" w:name="OLE_LINK1"/>
      <w:r>
        <w:rPr>
          <w:rFonts w:hint="eastAsia"/>
          <w:b w:val="0"/>
          <w:bCs w:val="0"/>
          <w:color w:val="auto"/>
          <w:sz w:val="24"/>
          <w:lang w:val="en-US" w:eastAsia="zh-CN"/>
        </w:rPr>
        <w:t>具有国家相关部门颁发的特种设备安装改造维修许可证（压力管道），许可范围应包含天然气调压箱的维修保养</w:t>
      </w:r>
      <w:bookmarkEnd w:id="13"/>
      <w:bookmarkEnd w:id="12"/>
      <w:r>
        <w:rPr>
          <w:rFonts w:hint="eastAsia"/>
          <w:b w:val="0"/>
          <w:bCs w:val="0"/>
          <w:color w:val="auto"/>
          <w:sz w:val="24"/>
          <w:lang w:val="en-US" w:eastAsia="zh-CN"/>
        </w:rPr>
        <w:t>。</w:t>
      </w:r>
    </w:p>
    <w:p>
      <w:pPr>
        <w:pStyle w:val="2"/>
        <w:ind w:left="0" w:leftChars="0" w:firstLine="480" w:firstLineChars="200"/>
        <w:rPr>
          <w:rFonts w:hint="eastAsia"/>
          <w:b w:val="0"/>
          <w:bCs w:val="0"/>
          <w:color w:val="auto"/>
          <w:sz w:val="24"/>
          <w:lang w:val="en-US" w:eastAsia="zh-CN"/>
        </w:rPr>
      </w:pPr>
    </w:p>
    <w:p>
      <w:pPr>
        <w:pStyle w:val="2"/>
        <w:ind w:left="0" w:leftChars="0" w:firstLine="480" w:firstLineChars="200"/>
        <w:rPr>
          <w:rFonts w:hint="eastAsia"/>
          <w:b w:val="0"/>
          <w:bCs w:val="0"/>
          <w:color w:val="auto"/>
          <w:sz w:val="24"/>
          <w:lang w:val="en-US" w:eastAsia="zh-CN"/>
        </w:rPr>
      </w:pPr>
    </w:p>
    <w:p>
      <w:pPr>
        <w:pStyle w:val="2"/>
        <w:ind w:left="0" w:leftChars="0" w:firstLine="480" w:firstLineChars="200"/>
        <w:rPr>
          <w:rFonts w:hint="eastAsia"/>
          <w:b w:val="0"/>
          <w:bCs w:val="0"/>
          <w:color w:val="auto"/>
          <w:sz w:val="24"/>
          <w:lang w:val="en-US" w:eastAsia="zh-CN"/>
        </w:rPr>
      </w:pPr>
    </w:p>
    <w:p>
      <w:pPr>
        <w:pStyle w:val="2"/>
        <w:ind w:left="0" w:leftChars="0" w:firstLine="5040" w:firstLineChars="2100"/>
        <w:rPr>
          <w:rFonts w:hint="eastAsia"/>
          <w:b w:val="0"/>
          <w:bCs w:val="0"/>
          <w:color w:val="auto"/>
          <w:sz w:val="24"/>
          <w:lang w:val="en-US" w:eastAsia="zh-CN"/>
        </w:rPr>
      </w:pPr>
      <w:r>
        <w:rPr>
          <w:rFonts w:hint="eastAsia"/>
          <w:b w:val="0"/>
          <w:bCs w:val="0"/>
          <w:color w:val="auto"/>
          <w:sz w:val="24"/>
          <w:lang w:val="en-US" w:eastAsia="zh-CN"/>
        </w:rPr>
        <w:t>规划建设与运行保障处</w:t>
      </w:r>
    </w:p>
    <w:p>
      <w:pPr>
        <w:pStyle w:val="2"/>
        <w:ind w:left="0" w:leftChars="0" w:firstLine="5520" w:firstLineChars="2300"/>
        <w:rPr>
          <w:rFonts w:hint="default"/>
          <w:b w:val="0"/>
          <w:bCs w:val="0"/>
          <w:color w:val="auto"/>
          <w:sz w:val="24"/>
          <w:lang w:val="en-US" w:eastAsia="zh-CN"/>
        </w:rPr>
      </w:pPr>
      <w:r>
        <w:rPr>
          <w:rFonts w:hint="eastAsia"/>
          <w:b w:val="0"/>
          <w:bCs w:val="0"/>
          <w:color w:val="auto"/>
          <w:sz w:val="24"/>
          <w:lang w:val="en-US" w:eastAsia="zh-CN"/>
        </w:rPr>
        <w:t>2026年2月6日</w:t>
      </w:r>
    </w:p>
    <w:p>
      <w:pPr>
        <w:pStyle w:val="2"/>
        <w:rPr>
          <w:rFonts w:hint="eastAsia"/>
          <w:b w:val="0"/>
          <w:bCs w:val="0"/>
          <w:color w:val="auto"/>
          <w:sz w:val="24"/>
          <w:lang w:val="en-US" w:eastAsia="zh-CN"/>
        </w:rPr>
      </w:pPr>
    </w:p>
    <w:sectPr>
      <w:pgSz w:w="11907" w:h="16840"/>
      <w:pgMar w:top="1247" w:right="1418" w:bottom="1247" w:left="1418" w:header="907" w:footer="907" w:gutter="0"/>
      <w:pgNumType w:start="13"/>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阿里巴巴普惠体 R">
    <w:altName w:val="Segoe Print"/>
    <w:panose1 w:val="00000000000000000000"/>
    <w:charset w:val="00"/>
    <w:family w:val="auto"/>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isplayHorizontalDrawingGridEvery w:val="1"/>
  <w:displayVerticalDrawingGridEvery w:val="1"/>
  <w:noPunctuationKerning w:val="1"/>
  <w:characterSpacingControl w:val="doNotCompress"/>
  <w:noLineBreaksAfter w:lang="zh-CN" w:val="([{·‘“〈《「『【〔〖（．［｛￡￥"/>
  <w:noLineBreaksBefore w:lang="zh-CN" w:val="!),.:;?]}¨·ˇˉ―‖’”…∶、。〃々〉》」』】〕〗！＂＇），．：；？］｀｜｝～￠"/>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mYmVhMGQ2YWQwOTc0ZDFkYmVkZTE0NzFkNThlYzIifQ=="/>
    <w:docVar w:name="KSO_WPS_MARK_KEY" w:val="858bd720-18c7-4b1f-9a4f-08bc00f6bb68"/>
  </w:docVars>
  <w:rsids>
    <w:rsidRoot w:val="00A77B3E"/>
    <w:rsid w:val="003261B3"/>
    <w:rsid w:val="00374E9B"/>
    <w:rsid w:val="00630231"/>
    <w:rsid w:val="0067603C"/>
    <w:rsid w:val="00A77B3E"/>
    <w:rsid w:val="00CA2A55"/>
    <w:rsid w:val="00E176E6"/>
    <w:rsid w:val="01566910"/>
    <w:rsid w:val="02F32FFC"/>
    <w:rsid w:val="036B5288"/>
    <w:rsid w:val="05D709B3"/>
    <w:rsid w:val="0AB319EF"/>
    <w:rsid w:val="0B2C1786"/>
    <w:rsid w:val="0CAC1A83"/>
    <w:rsid w:val="0EDE5D72"/>
    <w:rsid w:val="14DE0587"/>
    <w:rsid w:val="17022D12"/>
    <w:rsid w:val="182E0907"/>
    <w:rsid w:val="1B007B17"/>
    <w:rsid w:val="1F824712"/>
    <w:rsid w:val="210F1AFB"/>
    <w:rsid w:val="236D2C2B"/>
    <w:rsid w:val="274912B9"/>
    <w:rsid w:val="28BD311B"/>
    <w:rsid w:val="2950325C"/>
    <w:rsid w:val="299B4A98"/>
    <w:rsid w:val="2B511FDC"/>
    <w:rsid w:val="2C556F09"/>
    <w:rsid w:val="2DD227B3"/>
    <w:rsid w:val="2E554CE2"/>
    <w:rsid w:val="2FF827A8"/>
    <w:rsid w:val="3180031B"/>
    <w:rsid w:val="338B395F"/>
    <w:rsid w:val="3679323D"/>
    <w:rsid w:val="3C112550"/>
    <w:rsid w:val="3DB63AC6"/>
    <w:rsid w:val="414F194C"/>
    <w:rsid w:val="4192599D"/>
    <w:rsid w:val="43476B9D"/>
    <w:rsid w:val="47A277BA"/>
    <w:rsid w:val="49E60792"/>
    <w:rsid w:val="4D276E58"/>
    <w:rsid w:val="4F075432"/>
    <w:rsid w:val="4F666515"/>
    <w:rsid w:val="556C5FEF"/>
    <w:rsid w:val="59AF294E"/>
    <w:rsid w:val="5AA41CDC"/>
    <w:rsid w:val="5ACE14FA"/>
    <w:rsid w:val="5B6C5F0F"/>
    <w:rsid w:val="5F160D2A"/>
    <w:rsid w:val="613100ED"/>
    <w:rsid w:val="62664979"/>
    <w:rsid w:val="62C669CD"/>
    <w:rsid w:val="664C6988"/>
    <w:rsid w:val="66A82BFF"/>
    <w:rsid w:val="69557264"/>
    <w:rsid w:val="6A955B90"/>
    <w:rsid w:val="6BB768A1"/>
    <w:rsid w:val="6EF340E5"/>
    <w:rsid w:val="763C5112"/>
    <w:rsid w:val="76B43684"/>
    <w:rsid w:val="77B50ECB"/>
    <w:rsid w:val="78DD2BDC"/>
    <w:rsid w:val="79B835CF"/>
    <w:rsid w:val="7B1C38CA"/>
    <w:rsid w:val="7DAF266D"/>
    <w:rsid w:val="7F450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3">
    <w:name w:val="heading 1"/>
    <w:basedOn w:val="1"/>
    <w:next w:val="1"/>
    <w:qFormat/>
    <w:uiPriority w:val="0"/>
    <w:pPr>
      <w:keepNext/>
      <w:keepLines/>
      <w:widowControl w:val="0"/>
      <w:spacing w:before="340" w:after="330" w:line="300" w:lineRule="auto"/>
      <w:jc w:val="center"/>
      <w:outlineLvl w:val="0"/>
    </w:pPr>
    <w:rPr>
      <w:b/>
      <w:bCs/>
      <w:kern w:val="44"/>
      <w:sz w:val="32"/>
      <w:szCs w:val="44"/>
    </w:rPr>
  </w:style>
  <w:style w:type="paragraph" w:styleId="4">
    <w:name w:val="heading 2"/>
    <w:basedOn w:val="1"/>
    <w:next w:val="1"/>
    <w:qFormat/>
    <w:uiPriority w:val="0"/>
    <w:pPr>
      <w:keepNext/>
      <w:keepLines/>
      <w:widowControl w:val="0"/>
      <w:spacing w:before="260" w:after="260" w:line="416" w:lineRule="auto"/>
      <w:jc w:val="both"/>
      <w:outlineLvl w:val="1"/>
    </w:pPr>
    <w:rPr>
      <w:rFonts w:ascii="Arial" w:hAnsi="Arial" w:eastAsia="黑体"/>
      <w:bCs/>
      <w:kern w:val="2"/>
      <w:sz w:val="32"/>
      <w:szCs w:val="32"/>
    </w:rPr>
  </w:style>
  <w:style w:type="paragraph" w:styleId="5">
    <w:name w:val="heading 3"/>
    <w:basedOn w:val="1"/>
    <w:next w:val="1"/>
    <w:qFormat/>
    <w:uiPriority w:val="0"/>
    <w:pPr>
      <w:keepNext/>
      <w:keepLines/>
      <w:widowControl w:val="0"/>
      <w:spacing w:before="120" w:after="120" w:line="300" w:lineRule="auto"/>
      <w:jc w:val="both"/>
      <w:outlineLvl w:val="2"/>
    </w:pPr>
    <w:rPr>
      <w:rFonts w:ascii="宋体"/>
      <w:b/>
      <w:bCs/>
      <w:kern w:val="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6">
    <w:name w:val="Normal Indent"/>
    <w:basedOn w:val="1"/>
    <w:qFormat/>
    <w:uiPriority w:val="99"/>
    <w:pPr>
      <w:adjustRightInd w:val="0"/>
      <w:spacing w:before="60" w:after="60" w:line="312" w:lineRule="atLeast"/>
      <w:ind w:firstLine="420"/>
      <w:textAlignment w:val="baseline"/>
    </w:pPr>
  </w:style>
  <w:style w:type="paragraph" w:styleId="7">
    <w:name w:val="toc 3"/>
    <w:basedOn w:val="1"/>
    <w:next w:val="1"/>
    <w:qFormat/>
    <w:uiPriority w:val="39"/>
    <w:pPr>
      <w:widowControl w:val="0"/>
      <w:ind w:left="420"/>
    </w:pPr>
    <w:rPr>
      <w:i/>
      <w:iCs/>
      <w:kern w:val="2"/>
      <w:sz w:val="20"/>
      <w:szCs w:val="20"/>
    </w:rPr>
  </w:style>
  <w:style w:type="paragraph" w:styleId="8">
    <w:name w:val="Plain Text"/>
    <w:basedOn w:val="1"/>
    <w:qFormat/>
    <w:uiPriority w:val="0"/>
    <w:rPr>
      <w:rFonts w:ascii="宋体" w:hAnsi="Courier New"/>
    </w:rPr>
  </w:style>
  <w:style w:type="paragraph" w:styleId="9">
    <w:name w:val="footer"/>
    <w:basedOn w:val="1"/>
    <w:link w:val="28"/>
    <w:qFormat/>
    <w:uiPriority w:val="99"/>
    <w:pPr>
      <w:tabs>
        <w:tab w:val="center" w:pos="4153"/>
        <w:tab w:val="right" w:pos="8306"/>
      </w:tabs>
      <w:snapToGrid w:val="0"/>
    </w:pPr>
    <w:rPr>
      <w:sz w:val="18"/>
      <w:szCs w:val="18"/>
    </w:rPr>
  </w:style>
  <w:style w:type="paragraph" w:styleId="10">
    <w:name w:val="envelope return"/>
    <w:basedOn w:val="1"/>
    <w:unhideWhenUsed/>
    <w:qFormat/>
    <w:uiPriority w:val="99"/>
    <w:pPr>
      <w:snapToGrid w:val="0"/>
    </w:pPr>
    <w:rPr>
      <w:rFonts w:ascii="Arial" w:hAnsi="Arial"/>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widowControl w:val="0"/>
      <w:tabs>
        <w:tab w:val="right" w:leader="dot" w:pos="9061"/>
      </w:tabs>
      <w:spacing w:before="120" w:after="120" w:line="360" w:lineRule="auto"/>
    </w:pPr>
    <w:rPr>
      <w:rFonts w:ascii="宋体" w:hAnsi="宋体" w:cs="Arial"/>
      <w:bCs/>
      <w:caps/>
      <w:kern w:val="2"/>
    </w:rPr>
  </w:style>
  <w:style w:type="paragraph" w:styleId="13">
    <w:name w:val="footnote text"/>
    <w:basedOn w:val="1"/>
    <w:qFormat/>
    <w:uiPriority w:val="0"/>
    <w:pPr>
      <w:snapToGrid w:val="0"/>
    </w:pPr>
    <w:rPr>
      <w:sz w:val="18"/>
      <w:szCs w:val="18"/>
    </w:rPr>
  </w:style>
  <w:style w:type="paragraph" w:styleId="14">
    <w:name w:val="toc 2"/>
    <w:basedOn w:val="1"/>
    <w:next w:val="1"/>
    <w:qFormat/>
    <w:uiPriority w:val="39"/>
    <w:pPr>
      <w:widowControl w:val="0"/>
      <w:ind w:left="210"/>
    </w:pPr>
    <w:rPr>
      <w:smallCaps/>
      <w:kern w:val="2"/>
      <w:sz w:val="20"/>
      <w:szCs w:val="20"/>
    </w:rPr>
  </w:style>
  <w:style w:type="paragraph" w:styleId="15">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16">
    <w:name w:val="Title"/>
    <w:basedOn w:val="1"/>
    <w:next w:val="1"/>
    <w:qFormat/>
    <w:uiPriority w:val="0"/>
    <w:pPr>
      <w:spacing w:before="240" w:after="60"/>
      <w:jc w:val="center"/>
      <w:outlineLvl w:val="0"/>
    </w:pPr>
    <w:rPr>
      <w:rFonts w:ascii="等线 Light" w:hAnsi="等线 Light"/>
      <w:b/>
      <w:bCs/>
      <w:sz w:val="32"/>
      <w:szCs w:val="32"/>
    </w:rPr>
  </w:style>
  <w:style w:type="paragraph" w:styleId="17">
    <w:name w:val="Body Text First Indent"/>
    <w:basedOn w:val="1"/>
    <w:unhideWhenUsed/>
    <w:qFormat/>
    <w:uiPriority w:val="99"/>
    <w:pPr>
      <w:ind w:firstLine="420" w:firstLineChars="100"/>
    </w:pPr>
  </w:style>
  <w:style w:type="paragraph" w:styleId="18">
    <w:name w:val="Body Text First Indent 2"/>
    <w:basedOn w:val="2"/>
    <w:qFormat/>
    <w:uiPriority w:val="0"/>
    <w:pPr>
      <w:ind w:firstLine="200"/>
      <w:jc w:val="left"/>
    </w:pPr>
    <w:rPr>
      <w:rFonts w:ascii="Times New Roman" w:hAnsi="Times New Roman"/>
      <w:sz w:val="20"/>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2">
    <w:name w:val="page number"/>
    <w:qFormat/>
    <w:uiPriority w:val="0"/>
  </w:style>
  <w:style w:type="character" w:styleId="23">
    <w:name w:val="Hyperlink"/>
    <w:basedOn w:val="21"/>
    <w:qFormat/>
    <w:uiPriority w:val="99"/>
    <w:rPr>
      <w:color w:val="0000FF"/>
      <w:u w:val="single"/>
    </w:rPr>
  </w:style>
  <w:style w:type="character" w:styleId="24">
    <w:name w:val="footnote reference"/>
    <w:basedOn w:val="21"/>
    <w:qFormat/>
    <w:uiPriority w:val="0"/>
    <w:rPr>
      <w:vertAlign w:val="superscript"/>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_Style 6"/>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27">
    <w:name w:val="List Paragraph"/>
    <w:basedOn w:val="1"/>
    <w:unhideWhenUsed/>
    <w:qFormat/>
    <w:uiPriority w:val="99"/>
    <w:pPr>
      <w:ind w:firstLine="420" w:firstLineChars="200"/>
    </w:pPr>
  </w:style>
  <w:style w:type="character" w:customStyle="1" w:styleId="28">
    <w:name w:val="页脚 字符"/>
    <w:basedOn w:val="21"/>
    <w:link w:val="9"/>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2472</Words>
  <Characters>2546</Characters>
  <Lines>39</Lines>
  <Paragraphs>24</Paragraphs>
  <TotalTime>35</TotalTime>
  <ScaleCrop>false</ScaleCrop>
  <LinksUpToDate>false</LinksUpToDate>
  <CharactersWithSpaces>3203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2024-01-28T01:39:00Z</dcterms:created>
  <dc:creator>Lenovo</dc:creator>
  <cp:lastModifiedBy>高莉</cp:lastModifiedBy>
  <dcterms:modified xsi:type="dcterms:W3CDTF">2026-02-24T02:23:27Z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DAD3C20A157848739866EAF545863EF2</vt:lpwstr>
  </property>
  <property fmtid="{D5CDD505-2E9C-101B-9397-08002B2CF9AE}" pid="4" name="KSOTemplateDocerSaveRecord">
    <vt:lpwstr>eyJoZGlkIjoiMzA2N2RjNTIyOTI3NTFjZTQ0ZWE3MDExZWI4YTE5ZWEiLCJ1c2VySWQiOiI1NDgyNzY1OTkifQ==</vt:lpwstr>
  </property>
</Properties>
</file>