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numPr>
          <w:ilvl w:val="2"/>
          <w:numId w:val="0"/>
        </w:numPr>
        <w:ind w:firstLine="1501" w:firstLineChars="500"/>
        <w:jc w:val="both"/>
        <w:rPr>
          <w:rFonts w:hint="default" w:hAnsi="宋体"/>
          <w:color w:val="B2A1C7"/>
          <w:sz w:val="30"/>
          <w:szCs w:val="30"/>
          <w:lang w:val="en-US" w:eastAsia="zh-CN"/>
        </w:rPr>
      </w:pPr>
      <w:r>
        <w:rPr>
          <w:rFonts w:hint="eastAsia"/>
          <w:color w:val="auto"/>
          <w:sz w:val="30"/>
          <w:szCs w:val="30"/>
          <w:lang w:val="en-US" w:eastAsia="zh-CN"/>
        </w:rPr>
        <w:t>2026年本院区灭火器年检</w:t>
      </w:r>
      <w:r>
        <w:rPr>
          <w:color w:val="auto"/>
          <w:sz w:val="30"/>
          <w:szCs w:val="30"/>
        </w:rPr>
        <w:t>技术</w:t>
      </w:r>
      <w:r>
        <w:rPr>
          <w:rFonts w:hint="eastAsia"/>
          <w:color w:val="auto"/>
          <w:sz w:val="30"/>
          <w:szCs w:val="30"/>
          <w:lang w:val="en-US" w:eastAsia="zh-CN"/>
        </w:rPr>
        <w:t>服务</w:t>
      </w:r>
      <w:r>
        <w:rPr>
          <w:rFonts w:hint="eastAsia"/>
          <w:color w:val="auto"/>
          <w:sz w:val="30"/>
          <w:szCs w:val="30"/>
        </w:rPr>
        <w:t>需求</w:t>
      </w:r>
    </w:p>
    <w:p>
      <w:pPr>
        <w:numPr>
          <w:ilvl w:val="0"/>
          <w:numId w:val="2"/>
        </w:num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供应商应提供相应灭火器年检资质。</w:t>
      </w:r>
    </w:p>
    <w:p>
      <w:pPr>
        <w:numPr>
          <w:ilvl w:val="0"/>
          <w:numId w:val="2"/>
        </w:num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按照采购人的相关约定提供灭火器年检维修，服务标准应达到现行有效的国家、北京市或行业技术规范。</w:t>
      </w:r>
    </w:p>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val="en-US" w:eastAsia="zh-CN"/>
        </w:rPr>
        <w:t>3、</w:t>
      </w:r>
      <w:r>
        <w:rPr>
          <w:rFonts w:hint="eastAsia" w:ascii="宋体" w:hAnsi="宋体" w:eastAsia="宋体" w:cs="宋体"/>
          <w:color w:val="auto"/>
          <w:sz w:val="30"/>
          <w:szCs w:val="30"/>
          <w:highlight w:val="none"/>
          <w:lang w:eastAsia="zh-CN"/>
        </w:rPr>
        <w:t>供应商在检测过程中应有保护采购人工作场所内所有人员的安全保障措施。</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4、</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在提供服务过程中不应影响采购人正常的生产经营活动。</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5、</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应针对本项目服务过程中可能发生的意外事件、事故制定专项应急处置方案。</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6、</w:t>
      </w:r>
      <w:r>
        <w:rPr>
          <w:rFonts w:hint="eastAsia" w:ascii="宋体" w:hAnsi="宋体" w:eastAsia="宋体" w:cs="宋体"/>
          <w:color w:val="auto"/>
          <w:sz w:val="30"/>
          <w:szCs w:val="30"/>
          <w:lang w:eastAsia="zh-CN"/>
        </w:rPr>
        <w:t>供应商</w:t>
      </w:r>
      <w:r>
        <w:rPr>
          <w:rFonts w:hint="eastAsia" w:ascii="宋体" w:hAnsi="宋体" w:eastAsia="宋体" w:cs="宋体"/>
          <w:color w:val="auto"/>
          <w:sz w:val="30"/>
          <w:szCs w:val="30"/>
        </w:rPr>
        <w:t>工作人员在灭火器搬运、装卸、运输、检测和摆放过程中应有安全保障措施。</w:t>
      </w:r>
    </w:p>
    <w:p>
      <w:pPr>
        <w:spacing w:line="360" w:lineRule="auto"/>
        <w:ind w:firstLine="600" w:firstLineChars="200"/>
        <w:jc w:val="left"/>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7、供应商应在10至15个工作日（节假日含在内）内完成灭火器检验、维修。摆放灭火器必须按照原放置点位灭火器品牌、型号摆放回原位。</w:t>
      </w:r>
    </w:p>
    <w:p>
      <w:pPr>
        <w:spacing w:line="360" w:lineRule="auto"/>
        <w:ind w:firstLine="600" w:firstLineChars="200"/>
        <w:jc w:val="left"/>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8、</w:t>
      </w:r>
      <w:r>
        <w:rPr>
          <w:rFonts w:hint="eastAsia" w:ascii="宋体" w:hAnsi="宋体" w:eastAsia="宋体" w:cs="宋体"/>
          <w:color w:val="auto"/>
          <w:sz w:val="30"/>
          <w:szCs w:val="30"/>
        </w:rPr>
        <w:t>在灭火器搬运过程中</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如对采购人的</w:t>
      </w:r>
      <w:r>
        <w:rPr>
          <w:rFonts w:hint="eastAsia" w:ascii="宋体" w:hAnsi="宋体" w:eastAsia="宋体" w:cs="宋体"/>
          <w:color w:val="auto"/>
          <w:sz w:val="30"/>
          <w:szCs w:val="30"/>
          <w:lang w:eastAsia="zh-CN"/>
        </w:rPr>
        <w:t>建筑物</w:t>
      </w:r>
      <w:r>
        <w:rPr>
          <w:rFonts w:hint="eastAsia" w:ascii="宋体" w:hAnsi="宋体" w:eastAsia="宋体" w:cs="宋体"/>
          <w:color w:val="auto"/>
          <w:sz w:val="30"/>
          <w:szCs w:val="30"/>
        </w:rPr>
        <w:t>内</w:t>
      </w:r>
      <w:r>
        <w:rPr>
          <w:rFonts w:hint="eastAsia" w:ascii="宋体" w:hAnsi="宋体" w:eastAsia="宋体" w:cs="宋体"/>
          <w:color w:val="auto"/>
          <w:sz w:val="30"/>
          <w:szCs w:val="30"/>
          <w:lang w:eastAsia="zh-CN"/>
        </w:rPr>
        <w:t>工作</w:t>
      </w:r>
      <w:r>
        <w:rPr>
          <w:rFonts w:hint="eastAsia" w:ascii="宋体" w:hAnsi="宋体" w:eastAsia="宋体" w:cs="宋体"/>
          <w:color w:val="auto"/>
          <w:sz w:val="30"/>
          <w:szCs w:val="30"/>
        </w:rPr>
        <w:t>人员的办公</w:t>
      </w:r>
      <w:r>
        <w:rPr>
          <w:rFonts w:hint="eastAsia" w:ascii="宋体" w:hAnsi="宋体" w:eastAsia="宋体" w:cs="宋体"/>
          <w:color w:val="auto"/>
          <w:sz w:val="30"/>
          <w:szCs w:val="30"/>
          <w:lang w:eastAsia="zh-CN"/>
        </w:rPr>
        <w:t>、医疗秩序等</w:t>
      </w:r>
      <w:r>
        <w:rPr>
          <w:rFonts w:hint="eastAsia" w:ascii="宋体" w:hAnsi="宋体" w:eastAsia="宋体" w:cs="宋体"/>
          <w:color w:val="auto"/>
          <w:sz w:val="30"/>
          <w:szCs w:val="30"/>
        </w:rPr>
        <w:t>产生影响，应</w:t>
      </w:r>
      <w:r>
        <w:rPr>
          <w:rFonts w:hint="eastAsia" w:ascii="宋体" w:hAnsi="宋体" w:eastAsia="宋体" w:cs="宋体"/>
          <w:color w:val="auto"/>
          <w:sz w:val="30"/>
          <w:szCs w:val="30"/>
          <w:lang w:eastAsia="zh-CN"/>
        </w:rPr>
        <w:t>采取相应措施，</w:t>
      </w:r>
      <w:r>
        <w:rPr>
          <w:rFonts w:hint="eastAsia" w:ascii="宋体" w:hAnsi="宋体" w:eastAsia="宋体" w:cs="宋体"/>
          <w:color w:val="auto"/>
          <w:sz w:val="30"/>
          <w:szCs w:val="30"/>
        </w:rPr>
        <w:t>尽量保障</w:t>
      </w:r>
      <w:r>
        <w:rPr>
          <w:rFonts w:hint="eastAsia" w:ascii="宋体" w:hAnsi="宋体" w:eastAsia="宋体" w:cs="宋体"/>
          <w:color w:val="auto"/>
          <w:sz w:val="30"/>
          <w:szCs w:val="30"/>
          <w:lang w:eastAsia="zh-CN"/>
        </w:rPr>
        <w:t>工作区域内</w:t>
      </w:r>
      <w:r>
        <w:rPr>
          <w:rFonts w:hint="eastAsia" w:ascii="宋体" w:hAnsi="宋体" w:eastAsia="宋体" w:cs="宋体"/>
          <w:color w:val="auto"/>
          <w:sz w:val="30"/>
          <w:szCs w:val="30"/>
        </w:rPr>
        <w:t>人员的正常办公</w:t>
      </w:r>
      <w:r>
        <w:rPr>
          <w:rFonts w:hint="eastAsia" w:ascii="宋体" w:hAnsi="宋体" w:eastAsia="宋体" w:cs="宋体"/>
          <w:color w:val="auto"/>
          <w:sz w:val="30"/>
          <w:szCs w:val="30"/>
          <w:lang w:eastAsia="zh-CN"/>
        </w:rPr>
        <w:t>、维护医疗秩序</w:t>
      </w:r>
      <w:r>
        <w:rPr>
          <w:rFonts w:hint="eastAsia" w:ascii="宋体" w:hAnsi="宋体" w:eastAsia="宋体" w:cs="宋体"/>
          <w:color w:val="auto"/>
          <w:sz w:val="30"/>
          <w:szCs w:val="30"/>
        </w:rPr>
        <w:t>。</w:t>
      </w:r>
    </w:p>
    <w:p>
      <w:pPr>
        <w:spacing w:line="360" w:lineRule="auto"/>
        <w:ind w:firstLine="600" w:firstLineChars="200"/>
        <w:jc w:val="left"/>
        <w:rPr>
          <w:rFonts w:hint="default" w:eastAsia="宋体"/>
          <w:lang w:val="en-US" w:eastAsia="zh-CN"/>
        </w:rPr>
      </w:pPr>
      <w:r>
        <w:rPr>
          <w:rFonts w:hint="eastAsia" w:ascii="宋体" w:hAnsi="宋体" w:eastAsia="宋体" w:cs="宋体"/>
          <w:color w:val="auto"/>
          <w:sz w:val="30"/>
          <w:szCs w:val="30"/>
          <w:lang w:val="en-US" w:eastAsia="zh-CN"/>
        </w:rPr>
        <w:t>9、灭火器年检预算金额49300元整。检测完毕且合格后，并提供增值税发票10个工作日内，支付全额款项。</w:t>
      </w:r>
    </w:p>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val="en-US" w:eastAsia="zh-CN"/>
        </w:rPr>
      </w:pPr>
      <w:r>
        <w:rPr>
          <w:rFonts w:hint="eastAsia" w:ascii="宋体" w:hAnsi="宋体" w:eastAsia="宋体" w:cs="宋体"/>
          <w:color w:val="auto"/>
          <w:sz w:val="30"/>
          <w:szCs w:val="30"/>
          <w:highlight w:val="none"/>
          <w:lang w:val="en-US" w:eastAsia="zh-CN"/>
        </w:rPr>
        <w:t>10、灭火器明细</w:t>
      </w:r>
      <w:bookmarkStart w:id="0" w:name="_GoBack"/>
      <w:bookmarkEnd w:id="0"/>
      <w:r>
        <w:rPr>
          <w:rFonts w:hint="eastAsia" w:ascii="宋体" w:hAnsi="宋体" w:eastAsia="宋体" w:cs="宋体"/>
          <w:color w:val="auto"/>
          <w:sz w:val="30"/>
          <w:szCs w:val="30"/>
          <w:highlight w:val="none"/>
          <w:lang w:val="en-US" w:eastAsia="zh-CN"/>
        </w:rPr>
        <w:t>表如下：</w:t>
      </w:r>
    </w:p>
    <w:tbl>
      <w:tblPr>
        <w:tblStyle w:val="7"/>
        <w:tblpPr w:leftFromText="180" w:rightFromText="180" w:vertAnchor="text" w:horzAnchor="page" w:tblpX="1923" w:tblpY="617"/>
        <w:tblOverlap w:val="never"/>
        <w:tblW w:w="8316"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642"/>
        <w:gridCol w:w="36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rPr>
                <w:rFonts w:hint="default" w:ascii="仿宋_GB2312" w:eastAsia="仿宋_GB2312" w:cs="仿宋_GB2312"/>
                <w:color w:val="000000"/>
                <w:sz w:val="24"/>
                <w:szCs w:val="24"/>
                <w:lang w:val="en-US"/>
              </w:rPr>
            </w:pPr>
            <w:r>
              <w:rPr>
                <w:rFonts w:ascii="Arial" w:hAnsi="Arial" w:cs="Arial"/>
                <w:b/>
                <w:color w:val="000000"/>
                <w:sz w:val="24"/>
                <w:szCs w:val="24"/>
              </w:rPr>
              <w:t>灭火器名称/规格</w:t>
            </w:r>
            <w:r>
              <w:rPr>
                <w:rFonts w:hint="eastAsia" w:ascii="Arial" w:hAnsi="Arial" w:cs="Arial"/>
                <w:b/>
                <w:color w:val="000000"/>
                <w:sz w:val="24"/>
                <w:szCs w:val="24"/>
                <w:lang w:val="en-US" w:eastAsia="zh-CN"/>
              </w:rPr>
              <w:t xml:space="preserve">     本院区</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jc w:val="center"/>
              <w:rPr>
                <w:rFonts w:hint="default" w:ascii="仿宋_GB2312" w:eastAsia="仿宋_GB2312" w:cs="仿宋_GB2312"/>
                <w:color w:val="000000"/>
                <w:sz w:val="24"/>
                <w:szCs w:val="24"/>
                <w:lang w:val="en-US" w:eastAsia="zh-CN"/>
              </w:rPr>
            </w:pPr>
            <w:r>
              <w:rPr>
                <w:rFonts w:hint="default" w:ascii="Arial" w:hAnsi="Arial" w:cs="Arial"/>
                <w:b/>
                <w:color w:val="000000"/>
                <w:sz w:val="24"/>
                <w:szCs w:val="24"/>
              </w:rPr>
              <w:t>数量（具）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rPr>
            </w:pPr>
            <w:r>
              <w:rPr>
                <w:rFonts w:ascii="仿宋_GB2312" w:eastAsia="仿宋_GB2312" w:cs="仿宋_GB2312"/>
                <w:color w:val="000000"/>
                <w:sz w:val="24"/>
                <w:szCs w:val="24"/>
              </w:rPr>
              <w:t>干粉灭火器</w:t>
            </w:r>
            <w:r>
              <w:rPr>
                <w:rFonts w:hint="default" w:ascii="仿宋_GB2312" w:eastAsia="仿宋_GB2312" w:cs="仿宋_GB2312"/>
                <w:color w:val="000000"/>
                <w:sz w:val="24"/>
                <w:szCs w:val="24"/>
              </w:rPr>
              <w:t>5Kg</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rPr>
            </w:pPr>
            <w:r>
              <w:rPr>
                <w:rFonts w:hint="default" w:ascii="仿宋_GB2312" w:eastAsia="仿宋_GB2312" w:cs="仿宋_GB2312"/>
                <w:color w:val="000000"/>
                <w:sz w:val="24"/>
                <w:szCs w:val="24"/>
              </w:rPr>
              <w:t>干粉灭火器35Kg推车</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eastAsia"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rPr>
            </w:pPr>
            <w:r>
              <w:rPr>
                <w:rFonts w:hint="default" w:ascii="仿宋_GB2312" w:eastAsia="仿宋_GB2312" w:cs="仿宋_GB2312"/>
                <w:color w:val="000000"/>
                <w:sz w:val="24"/>
                <w:szCs w:val="24"/>
              </w:rPr>
              <w:t>二氧化碳灭火器3Kg</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230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lang w:val="en-US" w:eastAsia="zh-CN"/>
              </w:rPr>
            </w:pPr>
            <w:r>
              <w:rPr>
                <w:rFonts w:hint="default" w:ascii="仿宋_GB2312" w:eastAsia="仿宋_GB2312" w:cs="仿宋_GB2312"/>
                <w:color w:val="000000"/>
                <w:sz w:val="24"/>
                <w:szCs w:val="24"/>
              </w:rPr>
              <w:t>灶台灭火装置</w:t>
            </w:r>
            <w:r>
              <w:rPr>
                <w:rFonts w:hint="eastAsia" w:ascii="仿宋_GB2312" w:eastAsia="仿宋_GB2312" w:cs="仿宋_GB2312"/>
                <w:color w:val="000000"/>
                <w:sz w:val="24"/>
                <w:szCs w:val="24"/>
                <w:lang w:eastAsia="zh-CN"/>
              </w:rPr>
              <w:t>（</w:t>
            </w:r>
            <w:r>
              <w:rPr>
                <w:rFonts w:hint="eastAsia" w:ascii="仿宋_GB2312" w:eastAsia="仿宋_GB2312" w:cs="仿宋_GB2312"/>
                <w:color w:val="000000"/>
                <w:sz w:val="24"/>
                <w:szCs w:val="24"/>
                <w:lang w:val="en-US" w:eastAsia="zh-CN"/>
              </w:rPr>
              <w:t>A区厨房、C区厨房）</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eastAsia"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气体灭火器81KG（七氟丙烷）（医学检验中心、体检中心3、门诊CT）</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rPr>
            </w:pPr>
            <w:r>
              <w:rPr>
                <w:rFonts w:hint="default" w:ascii="仿宋_GB2312" w:eastAsia="仿宋_GB2312" w:cs="仿宋_GB2312"/>
                <w:color w:val="000000"/>
                <w:sz w:val="24"/>
                <w:szCs w:val="24"/>
              </w:rPr>
              <w:t>二氧化碳灭火器5Kg</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rPr>
            </w:pPr>
            <w:r>
              <w:rPr>
                <w:rFonts w:ascii="仿宋_GB2312" w:eastAsia="仿宋_GB2312" w:cs="仿宋_GB2312"/>
                <w:color w:val="000000"/>
                <w:sz w:val="24"/>
                <w:szCs w:val="24"/>
              </w:rPr>
              <w:t>干粉灭火器</w:t>
            </w:r>
            <w:r>
              <w:rPr>
                <w:rFonts w:hint="eastAsia" w:ascii="仿宋_GB2312" w:eastAsia="仿宋_GB2312" w:cs="仿宋_GB2312"/>
                <w:color w:val="000000"/>
                <w:sz w:val="24"/>
                <w:szCs w:val="24"/>
                <w:lang w:val="en-US" w:eastAsia="zh-CN"/>
              </w:rPr>
              <w:t>1</w:t>
            </w:r>
            <w:r>
              <w:rPr>
                <w:rFonts w:hint="default" w:ascii="仿宋_GB2312" w:eastAsia="仿宋_GB2312" w:cs="仿宋_GB2312"/>
                <w:color w:val="000000"/>
                <w:sz w:val="24"/>
                <w:szCs w:val="24"/>
              </w:rPr>
              <w:t>Kg</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干粉灭火器3KG</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blCellSpacing w:w="0" w:type="dxa"/>
        </w:trPr>
        <w:tc>
          <w:tcPr>
            <w:tcW w:w="4642"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ind w:left="0" w:leftChars="0" w:right="0" w:rightChars="0"/>
              <w:rPr>
                <w:rFonts w:hint="eastAsia"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合计</w:t>
            </w:r>
          </w:p>
        </w:tc>
        <w:tc>
          <w:tcPr>
            <w:tcW w:w="3674" w:type="dxa"/>
            <w:tcBorders>
              <w:top w:val="single" w:color="000000" w:sz="6" w:space="0"/>
              <w:left w:val="single" w:color="000000" w:sz="6" w:space="0"/>
              <w:bottom w:val="single" w:color="000000" w:sz="6" w:space="0"/>
              <w:right w:val="single" w:color="000000" w:sz="6" w:space="0"/>
            </w:tcBorders>
            <w:shd w:val="clear" w:color="auto" w:fill="auto"/>
            <w:tcMar>
              <w:top w:w="20" w:type="dxa"/>
              <w:left w:w="20" w:type="dxa"/>
              <w:bottom w:w="72" w:type="dxa"/>
              <w:right w:w="20" w:type="dxa"/>
            </w:tcMar>
            <w:vAlign w:val="center"/>
          </w:tcPr>
          <w:p>
            <w:pPr>
              <w:pStyle w:val="6"/>
              <w:keepNext w:val="0"/>
              <w:keepLines w:val="0"/>
              <w:widowControl/>
              <w:suppressLineNumbers w:val="0"/>
              <w:jc w:val="center"/>
              <w:rPr>
                <w:rFonts w:hint="default" w:ascii="仿宋_GB2312" w:eastAsia="仿宋_GB2312" w:cs="仿宋_GB2312"/>
                <w:color w:val="000000"/>
                <w:sz w:val="24"/>
                <w:szCs w:val="24"/>
                <w:lang w:val="en-US" w:eastAsia="zh-CN"/>
              </w:rPr>
            </w:pPr>
            <w:r>
              <w:rPr>
                <w:rFonts w:hint="eastAsia" w:ascii="仿宋_GB2312" w:eastAsia="仿宋_GB2312" w:cs="仿宋_GB2312"/>
                <w:color w:val="000000"/>
                <w:sz w:val="24"/>
                <w:szCs w:val="24"/>
                <w:lang w:val="en-US" w:eastAsia="zh-CN"/>
              </w:rPr>
              <w:t>1282</w:t>
            </w:r>
          </w:p>
        </w:tc>
      </w:tr>
    </w:tbl>
    <w:p>
      <w:pPr>
        <w:autoSpaceDE w:val="0"/>
        <w:autoSpaceDN w:val="0"/>
        <w:adjustRightInd w:val="0"/>
        <w:spacing w:before="50" w:line="360" w:lineRule="auto"/>
        <w:ind w:firstLine="600" w:firstLineChars="200"/>
        <w:rPr>
          <w:rFonts w:hint="eastAsia" w:ascii="宋体" w:hAnsi="宋体" w:eastAsia="宋体" w:cs="宋体"/>
          <w:color w:val="auto"/>
          <w:sz w:val="30"/>
          <w:szCs w:val="30"/>
          <w:highlight w:val="none"/>
          <w:lang w:val="en-US" w:eastAsia="zh-CN"/>
        </w:rPr>
      </w:pPr>
    </w:p>
    <w:p>
      <w:pPr>
        <w:pStyle w:val="2"/>
        <w:rPr>
          <w:rFonts w:hint="eastAsia"/>
          <w:lang w:val="en-US" w:eastAsia="zh-CN"/>
        </w:rPr>
      </w:pPr>
    </w:p>
    <w:p>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07267"/>
    <w:multiLevelType w:val="singleLevel"/>
    <w:tmpl w:val="4A507267"/>
    <w:lvl w:ilvl="0" w:tentative="0">
      <w:start w:val="1"/>
      <w:numFmt w:val="decimal"/>
      <w:suff w:val="nothing"/>
      <w:lvlText w:val="%1、"/>
      <w:lvlJc w:val="left"/>
    </w:lvl>
  </w:abstractNum>
  <w:abstractNum w:abstractNumId="1">
    <w:nsid w:val="535778F6"/>
    <w:multiLevelType w:val="multilevel"/>
    <w:tmpl w:val="535778F6"/>
    <w:lvl w:ilvl="0" w:tentative="0">
      <w:start w:val="1"/>
      <w:numFmt w:val="chineseCountingThousand"/>
      <w:suff w:val="nothing"/>
      <w:lvlText w:val="%1、"/>
      <w:lvlJc w:val="left"/>
      <w:rPr>
        <w:rFonts w:hint="eastAsia"/>
        <w:b/>
        <w:i w:val="0"/>
        <w:sz w:val="24"/>
      </w:rPr>
    </w:lvl>
    <w:lvl w:ilvl="1" w:tentative="0">
      <w:start w:val="1"/>
      <w:numFmt w:val="decimal"/>
      <w:suff w:val="nothing"/>
      <w:lvlText w:val="%2. "/>
      <w:lvlJc w:val="left"/>
      <w:rPr>
        <w:rFonts w:hint="eastAsia"/>
        <w:b w:val="0"/>
        <w:i w:val="0"/>
        <w:sz w:val="24"/>
      </w:rPr>
    </w:lvl>
    <w:lvl w:ilvl="2" w:tentative="0">
      <w:start w:val="1"/>
      <w:numFmt w:val="none"/>
      <w:pStyle w:val="5"/>
      <w:suff w:val="nothing"/>
      <w:lvlText w:val=""/>
      <w:lvlJc w:val="left"/>
      <w:rPr>
        <w:rFonts w:hint="eastAsia"/>
      </w:rPr>
    </w:lvl>
    <w:lvl w:ilvl="3" w:tentative="0">
      <w:start w:val="1"/>
      <w:numFmt w:val="none"/>
      <w:suff w:val="nothing"/>
      <w:lvlText w:val=""/>
      <w:lvlJc w:val="left"/>
      <w:rPr>
        <w:rFonts w:hint="eastAsia"/>
      </w:rPr>
    </w:lvl>
    <w:lvl w:ilvl="4" w:tentative="0">
      <w:start w:val="1"/>
      <w:numFmt w:val="none"/>
      <w:suff w:val="nothing"/>
      <w:lvlText w:val=""/>
      <w:lvlJc w:val="left"/>
      <w:rPr>
        <w:rFonts w:hint="eastAsia"/>
      </w:rPr>
    </w:lvl>
    <w:lvl w:ilvl="5" w:tentative="0">
      <w:start w:val="1"/>
      <w:numFmt w:val="none"/>
      <w:suff w:val="nothing"/>
      <w:lvlText w:val=""/>
      <w:lvlJc w:val="left"/>
      <w:rPr>
        <w:rFonts w:hint="eastAsia"/>
      </w:rPr>
    </w:lvl>
    <w:lvl w:ilvl="6" w:tentative="0">
      <w:start w:val="1"/>
      <w:numFmt w:val="none"/>
      <w:suff w:val="nothing"/>
      <w:lvlText w:val=""/>
      <w:lvlJc w:val="left"/>
      <w:rPr>
        <w:rFonts w:hint="eastAsia"/>
      </w:rPr>
    </w:lvl>
    <w:lvl w:ilvl="7" w:tentative="0">
      <w:start w:val="1"/>
      <w:numFmt w:val="none"/>
      <w:suff w:val="nothing"/>
      <w:lvlText w:val=""/>
      <w:lvlJc w:val="left"/>
      <w:rPr>
        <w:rFonts w:hint="eastAsia"/>
      </w:rPr>
    </w:lvl>
    <w:lvl w:ilvl="8" w:tentative="0">
      <w:start w:val="1"/>
      <w:numFmt w:val="none"/>
      <w:suff w:val="nothing"/>
      <w:lvlText w:val=""/>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1YTFmZDBjYzRhZjY0NWQzOGVlZmE0MTNkOWM0NWQifQ=="/>
  </w:docVars>
  <w:rsids>
    <w:rsidRoot w:val="782822E6"/>
    <w:rsid w:val="00745D49"/>
    <w:rsid w:val="01B05EE7"/>
    <w:rsid w:val="045F48DF"/>
    <w:rsid w:val="06264B3E"/>
    <w:rsid w:val="062E24EB"/>
    <w:rsid w:val="075871EE"/>
    <w:rsid w:val="079937BA"/>
    <w:rsid w:val="0C755A41"/>
    <w:rsid w:val="14917D43"/>
    <w:rsid w:val="190D1D1C"/>
    <w:rsid w:val="195F6F80"/>
    <w:rsid w:val="1E361750"/>
    <w:rsid w:val="211A4199"/>
    <w:rsid w:val="298173AD"/>
    <w:rsid w:val="3431166B"/>
    <w:rsid w:val="35CD77FF"/>
    <w:rsid w:val="40D92828"/>
    <w:rsid w:val="42CF5F02"/>
    <w:rsid w:val="42E47FC0"/>
    <w:rsid w:val="448451FB"/>
    <w:rsid w:val="45465DC4"/>
    <w:rsid w:val="4AB717E5"/>
    <w:rsid w:val="4BD1391E"/>
    <w:rsid w:val="4F56682E"/>
    <w:rsid w:val="51AC2BAE"/>
    <w:rsid w:val="52313343"/>
    <w:rsid w:val="52BC37C2"/>
    <w:rsid w:val="563006A9"/>
    <w:rsid w:val="589D0C8F"/>
    <w:rsid w:val="5C3850D2"/>
    <w:rsid w:val="5DF75F65"/>
    <w:rsid w:val="5F733CA2"/>
    <w:rsid w:val="62666F41"/>
    <w:rsid w:val="66D52951"/>
    <w:rsid w:val="70EA3ACA"/>
    <w:rsid w:val="73426D10"/>
    <w:rsid w:val="77642A02"/>
    <w:rsid w:val="782822E6"/>
    <w:rsid w:val="7865066E"/>
    <w:rsid w:val="7BC42B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微软雅黑" w:cs="Times New Roman"/>
      <w:kern w:val="2"/>
      <w:sz w:val="21"/>
      <w:szCs w:val="21"/>
      <w:lang w:val="en-US" w:eastAsia="zh-CN" w:bidi="ar-SA"/>
    </w:rPr>
  </w:style>
  <w:style w:type="paragraph" w:styleId="5">
    <w:name w:val="heading 3"/>
    <w:basedOn w:val="1"/>
    <w:next w:val="1"/>
    <w:qFormat/>
    <w:uiPriority w:val="0"/>
    <w:pPr>
      <w:keepNext/>
      <w:keepLines/>
      <w:numPr>
        <w:ilvl w:val="2"/>
        <w:numId w:val="1"/>
      </w:numPr>
      <w:adjustRightInd w:val="0"/>
      <w:spacing w:before="240" w:after="120" w:line="300" w:lineRule="auto"/>
      <w:jc w:val="left"/>
      <w:textAlignment w:val="baseline"/>
      <w:outlineLvl w:val="2"/>
    </w:pPr>
    <w:rPr>
      <w:b/>
      <w:kern w:val="0"/>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tabs>
        <w:tab w:val="left" w:pos="8640"/>
      </w:tabs>
      <w:spacing w:after="120"/>
      <w:ind w:left="420" w:leftChars="200" w:firstLine="420" w:firstLineChars="200"/>
    </w:pPr>
  </w:style>
  <w:style w:type="paragraph" w:styleId="3">
    <w:name w:val="Body Text Indent"/>
    <w:basedOn w:val="1"/>
    <w:next w:val="4"/>
    <w:qFormat/>
    <w:uiPriority w:val="0"/>
    <w:pPr>
      <w:tabs>
        <w:tab w:val="left" w:pos="8640"/>
      </w:tabs>
      <w:ind w:left="1365"/>
    </w:pPr>
  </w:style>
  <w:style w:type="paragraph" w:styleId="4">
    <w:name w:val="envelope return"/>
    <w:qFormat/>
    <w:uiPriority w:val="99"/>
    <w:pPr>
      <w:widowControl w:val="0"/>
      <w:snapToGrid w:val="0"/>
      <w:jc w:val="both"/>
    </w:pPr>
    <w:rPr>
      <w:rFonts w:ascii="Arial" w:hAnsi="Arial" w:eastAsia="宋体" w:cs="Arial"/>
      <w:kern w:val="2"/>
      <w:sz w:val="21"/>
      <w:szCs w:val="24"/>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1411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2024-09-18T05:51:00Z</dcterms:created>
  <dc:creator>睡不醒的小狼</dc:creator>
  <cp:lastModifiedBy>高莉</cp:lastModifiedBy>
  <cp:lastPrinted>2026-09-28T02:04:36Z</cp:lastPrinted>
  <dcterms:modified xsi:type="dcterms:W3CDTF">2026-09-28T02:05:25Z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AAC7DA18C5CC4BD4A2D451F15C642D0A_11</vt:lpwstr>
  </property>
</Properties>
</file>