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numPr>
          <w:ilvl w:val="2"/>
          <w:numId w:val="0"/>
        </w:numPr>
        <w:ind w:firstLine="1501" w:firstLineChars="500"/>
        <w:jc w:val="both"/>
        <w:rPr>
          <w:rFonts w:hint="default" w:hAnsi="宋体"/>
          <w:color w:val="B2A1C7"/>
          <w:sz w:val="30"/>
          <w:szCs w:val="30"/>
          <w:lang w:val="en-US" w:eastAsia="zh-CN"/>
        </w:rPr>
      </w:pPr>
      <w:r>
        <w:rPr>
          <w:rFonts w:hint="eastAsia"/>
          <w:color w:val="auto"/>
          <w:sz w:val="30"/>
          <w:szCs w:val="30"/>
          <w:lang w:val="en-US" w:eastAsia="zh-CN"/>
        </w:rPr>
        <w:t>2026年应急病房灭火器年检</w:t>
      </w:r>
      <w:r>
        <w:rPr>
          <w:color w:val="auto"/>
          <w:sz w:val="30"/>
          <w:szCs w:val="30"/>
        </w:rPr>
        <w:t>技术</w:t>
      </w:r>
      <w:r>
        <w:rPr>
          <w:rFonts w:hint="eastAsia"/>
          <w:color w:val="auto"/>
          <w:sz w:val="30"/>
          <w:szCs w:val="30"/>
          <w:lang w:val="en-US" w:eastAsia="zh-CN"/>
        </w:rPr>
        <w:t>服务</w:t>
      </w:r>
      <w:r>
        <w:rPr>
          <w:rFonts w:hint="eastAsia"/>
          <w:color w:val="auto"/>
          <w:sz w:val="30"/>
          <w:szCs w:val="30"/>
        </w:rPr>
        <w:t>需求</w:t>
      </w:r>
    </w:p>
    <w:p>
      <w:pPr>
        <w:numPr>
          <w:ilvl w:val="0"/>
          <w:numId w:val="2"/>
        </w:numPr>
        <w:autoSpaceDE w:val="0"/>
        <w:autoSpaceDN w:val="0"/>
        <w:adjustRightInd w:val="0"/>
        <w:spacing w:before="50" w:line="360" w:lineRule="auto"/>
        <w:ind w:firstLine="600" w:firstLineChars="200"/>
        <w:rPr>
          <w:rFonts w:hint="eastAsia" w:ascii="宋体" w:hAnsi="宋体" w:eastAsia="宋体" w:cs="宋体"/>
          <w:color w:val="auto"/>
          <w:sz w:val="30"/>
          <w:szCs w:val="30"/>
          <w:highlight w:val="none"/>
          <w:lang w:eastAsia="zh-CN"/>
        </w:rPr>
      </w:pPr>
      <w:r>
        <w:rPr>
          <w:rFonts w:hint="eastAsia" w:ascii="宋体" w:hAnsi="宋体" w:eastAsia="宋体" w:cs="宋体"/>
          <w:color w:val="auto"/>
          <w:sz w:val="30"/>
          <w:szCs w:val="30"/>
          <w:highlight w:val="none"/>
          <w:lang w:eastAsia="zh-CN"/>
        </w:rPr>
        <w:t>供应商应提供相应灭火器年检资质。</w:t>
      </w:r>
    </w:p>
    <w:p>
      <w:pPr>
        <w:autoSpaceDE w:val="0"/>
        <w:autoSpaceDN w:val="0"/>
        <w:adjustRightInd w:val="0"/>
        <w:spacing w:before="50" w:line="360" w:lineRule="auto"/>
        <w:ind w:firstLine="600" w:firstLineChars="200"/>
        <w:rPr>
          <w:rFonts w:hint="eastAsia" w:ascii="宋体" w:hAnsi="宋体" w:eastAsia="宋体" w:cs="宋体"/>
          <w:color w:val="auto"/>
          <w:sz w:val="30"/>
          <w:szCs w:val="30"/>
          <w:highlight w:val="none"/>
          <w:lang w:eastAsia="zh-CN"/>
        </w:rPr>
      </w:pPr>
      <w:r>
        <w:rPr>
          <w:rFonts w:hint="eastAsia" w:ascii="宋体" w:hAnsi="宋体" w:eastAsia="宋体" w:cs="宋体"/>
          <w:color w:val="auto"/>
          <w:sz w:val="30"/>
          <w:szCs w:val="30"/>
          <w:highlight w:val="none"/>
          <w:lang w:val="en-US" w:eastAsia="zh-CN"/>
        </w:rPr>
        <w:t>2、</w:t>
      </w:r>
      <w:r>
        <w:rPr>
          <w:rFonts w:hint="eastAsia" w:ascii="宋体" w:hAnsi="宋体" w:eastAsia="宋体" w:cs="宋体"/>
          <w:color w:val="auto"/>
          <w:sz w:val="30"/>
          <w:szCs w:val="30"/>
          <w:highlight w:val="none"/>
          <w:lang w:eastAsia="zh-CN"/>
        </w:rPr>
        <w:t>供应商应按照采购人的相关约定提供灭火器年检维修，服务标准应达到现行有效的国家、北京市或行业技术规范。</w:t>
      </w:r>
    </w:p>
    <w:p>
      <w:pPr>
        <w:autoSpaceDE w:val="0"/>
        <w:autoSpaceDN w:val="0"/>
        <w:adjustRightInd w:val="0"/>
        <w:spacing w:before="50" w:line="360" w:lineRule="auto"/>
        <w:ind w:firstLine="600" w:firstLineChars="200"/>
        <w:rPr>
          <w:rFonts w:hint="eastAsia" w:ascii="宋体" w:hAnsi="宋体" w:eastAsia="宋体" w:cs="宋体"/>
          <w:color w:val="auto"/>
          <w:sz w:val="30"/>
          <w:szCs w:val="30"/>
          <w:highlight w:val="none"/>
          <w:lang w:eastAsia="zh-CN"/>
        </w:rPr>
      </w:pPr>
      <w:r>
        <w:rPr>
          <w:rFonts w:hint="eastAsia" w:ascii="宋体" w:hAnsi="宋体" w:eastAsia="宋体" w:cs="宋体"/>
          <w:color w:val="auto"/>
          <w:sz w:val="30"/>
          <w:szCs w:val="30"/>
          <w:highlight w:val="none"/>
          <w:lang w:val="en-US" w:eastAsia="zh-CN"/>
        </w:rPr>
        <w:t>3、</w:t>
      </w:r>
      <w:r>
        <w:rPr>
          <w:rFonts w:hint="eastAsia" w:ascii="宋体" w:hAnsi="宋体" w:eastAsia="宋体" w:cs="宋体"/>
          <w:color w:val="auto"/>
          <w:sz w:val="30"/>
          <w:szCs w:val="30"/>
          <w:highlight w:val="none"/>
          <w:lang w:eastAsia="zh-CN"/>
        </w:rPr>
        <w:t>供应商在检测过程中应有保护采购人工作场所内所有人员的安全保障措施。</w:t>
      </w:r>
    </w:p>
    <w:p>
      <w:pPr>
        <w:spacing w:line="360" w:lineRule="auto"/>
        <w:ind w:firstLine="600" w:firstLineChars="200"/>
        <w:jc w:val="left"/>
        <w:rPr>
          <w:rFonts w:hint="eastAsia" w:ascii="宋体" w:hAnsi="宋体" w:eastAsia="宋体" w:cs="宋体"/>
          <w:color w:val="auto"/>
          <w:sz w:val="30"/>
          <w:szCs w:val="30"/>
        </w:rPr>
      </w:pPr>
      <w:r>
        <w:rPr>
          <w:rFonts w:hint="eastAsia" w:ascii="宋体" w:hAnsi="宋体" w:eastAsia="宋体" w:cs="宋体"/>
          <w:color w:val="auto"/>
          <w:sz w:val="30"/>
          <w:szCs w:val="30"/>
          <w:lang w:val="en-US" w:eastAsia="zh-CN"/>
        </w:rPr>
        <w:t>4、</w:t>
      </w:r>
      <w:r>
        <w:rPr>
          <w:rFonts w:hint="eastAsia" w:ascii="宋体" w:hAnsi="宋体" w:eastAsia="宋体" w:cs="宋体"/>
          <w:color w:val="auto"/>
          <w:sz w:val="30"/>
          <w:szCs w:val="30"/>
          <w:lang w:eastAsia="zh-CN"/>
        </w:rPr>
        <w:t>供应商</w:t>
      </w:r>
      <w:r>
        <w:rPr>
          <w:rFonts w:hint="eastAsia" w:ascii="宋体" w:hAnsi="宋体" w:eastAsia="宋体" w:cs="宋体"/>
          <w:color w:val="auto"/>
          <w:sz w:val="30"/>
          <w:szCs w:val="30"/>
        </w:rPr>
        <w:t>在提供服务过程中不应影响采购人正常的生产经营活动。</w:t>
      </w:r>
    </w:p>
    <w:p>
      <w:pPr>
        <w:spacing w:line="360" w:lineRule="auto"/>
        <w:ind w:firstLine="600" w:firstLineChars="200"/>
        <w:jc w:val="left"/>
        <w:rPr>
          <w:rFonts w:hint="eastAsia" w:ascii="宋体" w:hAnsi="宋体" w:eastAsia="宋体" w:cs="宋体"/>
          <w:color w:val="auto"/>
          <w:sz w:val="30"/>
          <w:szCs w:val="30"/>
        </w:rPr>
      </w:pPr>
      <w:r>
        <w:rPr>
          <w:rFonts w:hint="eastAsia" w:ascii="宋体" w:hAnsi="宋体" w:eastAsia="宋体" w:cs="宋体"/>
          <w:color w:val="auto"/>
          <w:sz w:val="30"/>
          <w:szCs w:val="30"/>
          <w:lang w:val="en-US" w:eastAsia="zh-CN"/>
        </w:rPr>
        <w:t>5、</w:t>
      </w:r>
      <w:r>
        <w:rPr>
          <w:rFonts w:hint="eastAsia" w:ascii="宋体" w:hAnsi="宋体" w:eastAsia="宋体" w:cs="宋体"/>
          <w:color w:val="auto"/>
          <w:sz w:val="30"/>
          <w:szCs w:val="30"/>
          <w:lang w:eastAsia="zh-CN"/>
        </w:rPr>
        <w:t>供应商</w:t>
      </w:r>
      <w:r>
        <w:rPr>
          <w:rFonts w:hint="eastAsia" w:ascii="宋体" w:hAnsi="宋体" w:eastAsia="宋体" w:cs="宋体"/>
          <w:color w:val="auto"/>
          <w:sz w:val="30"/>
          <w:szCs w:val="30"/>
        </w:rPr>
        <w:t>应针对本项目服务过程中可能发生的意外事件、事故制定专项应急处置方案。</w:t>
      </w:r>
    </w:p>
    <w:p>
      <w:pPr>
        <w:spacing w:line="360" w:lineRule="auto"/>
        <w:ind w:firstLine="600" w:firstLineChars="200"/>
        <w:jc w:val="left"/>
        <w:rPr>
          <w:rFonts w:hint="eastAsia" w:ascii="宋体" w:hAnsi="宋体" w:eastAsia="宋体" w:cs="宋体"/>
          <w:color w:val="auto"/>
          <w:sz w:val="30"/>
          <w:szCs w:val="30"/>
        </w:rPr>
      </w:pPr>
      <w:r>
        <w:rPr>
          <w:rFonts w:hint="eastAsia" w:ascii="宋体" w:hAnsi="宋体" w:eastAsia="宋体" w:cs="宋体"/>
          <w:color w:val="auto"/>
          <w:sz w:val="30"/>
          <w:szCs w:val="30"/>
          <w:lang w:val="en-US" w:eastAsia="zh-CN"/>
        </w:rPr>
        <w:t>6、</w:t>
      </w:r>
      <w:r>
        <w:rPr>
          <w:rFonts w:hint="eastAsia" w:ascii="宋体" w:hAnsi="宋体" w:eastAsia="宋体" w:cs="宋体"/>
          <w:color w:val="auto"/>
          <w:sz w:val="30"/>
          <w:szCs w:val="30"/>
          <w:lang w:eastAsia="zh-CN"/>
        </w:rPr>
        <w:t>供应商</w:t>
      </w:r>
      <w:r>
        <w:rPr>
          <w:rFonts w:hint="eastAsia" w:ascii="宋体" w:hAnsi="宋体" w:eastAsia="宋体" w:cs="宋体"/>
          <w:color w:val="auto"/>
          <w:sz w:val="30"/>
          <w:szCs w:val="30"/>
        </w:rPr>
        <w:t>工作人员在灭火器搬运、装卸、运输、检测和摆放过程中应有安全保障措施。</w:t>
      </w:r>
    </w:p>
    <w:p>
      <w:pPr>
        <w:spacing w:line="360" w:lineRule="auto"/>
        <w:ind w:firstLine="600" w:firstLineChars="200"/>
        <w:jc w:val="left"/>
        <w:rPr>
          <w:rFonts w:hint="eastAsia" w:ascii="宋体" w:hAnsi="宋体" w:eastAsia="宋体" w:cs="宋体"/>
          <w:color w:val="auto"/>
          <w:sz w:val="30"/>
          <w:szCs w:val="30"/>
          <w:lang w:val="en-US" w:eastAsia="zh-CN"/>
        </w:rPr>
      </w:pPr>
      <w:r>
        <w:rPr>
          <w:rFonts w:hint="eastAsia" w:ascii="宋体" w:hAnsi="宋体" w:eastAsia="宋体" w:cs="宋体"/>
          <w:color w:val="auto"/>
          <w:sz w:val="30"/>
          <w:szCs w:val="30"/>
          <w:lang w:val="en-US" w:eastAsia="zh-CN"/>
        </w:rPr>
        <w:t>7、供应商应在10至15个工作日（节假日含在内）内完成灭火器检验、维修。摆放灭火器必须按照原放置点位灭火器品牌、型号摆放回原位。</w:t>
      </w:r>
    </w:p>
    <w:p>
      <w:pPr>
        <w:spacing w:line="360" w:lineRule="auto"/>
        <w:ind w:firstLine="600" w:firstLineChars="200"/>
        <w:jc w:val="left"/>
        <w:rPr>
          <w:rFonts w:hint="eastAsia" w:ascii="宋体" w:hAnsi="宋体" w:eastAsia="宋体" w:cs="宋体"/>
          <w:color w:val="auto"/>
          <w:sz w:val="30"/>
          <w:szCs w:val="30"/>
        </w:rPr>
      </w:pPr>
      <w:r>
        <w:rPr>
          <w:rFonts w:hint="eastAsia" w:ascii="宋体" w:hAnsi="宋体" w:eastAsia="宋体" w:cs="宋体"/>
          <w:color w:val="auto"/>
          <w:sz w:val="30"/>
          <w:szCs w:val="30"/>
          <w:lang w:val="en-US" w:eastAsia="zh-CN"/>
        </w:rPr>
        <w:t>8、</w:t>
      </w:r>
      <w:r>
        <w:rPr>
          <w:rFonts w:hint="eastAsia" w:ascii="宋体" w:hAnsi="宋体" w:eastAsia="宋体" w:cs="宋体"/>
          <w:color w:val="auto"/>
          <w:sz w:val="30"/>
          <w:szCs w:val="30"/>
        </w:rPr>
        <w:t>在灭火器搬运过程中</w:t>
      </w:r>
      <w:r>
        <w:rPr>
          <w:rFonts w:hint="eastAsia" w:ascii="宋体" w:hAnsi="宋体" w:eastAsia="宋体" w:cs="宋体"/>
          <w:color w:val="auto"/>
          <w:sz w:val="30"/>
          <w:szCs w:val="30"/>
          <w:lang w:eastAsia="zh-CN"/>
        </w:rPr>
        <w:t>，</w:t>
      </w:r>
      <w:r>
        <w:rPr>
          <w:rFonts w:hint="eastAsia" w:ascii="宋体" w:hAnsi="宋体" w:eastAsia="宋体" w:cs="宋体"/>
          <w:color w:val="auto"/>
          <w:sz w:val="30"/>
          <w:szCs w:val="30"/>
        </w:rPr>
        <w:t>如对采购人的</w:t>
      </w:r>
      <w:r>
        <w:rPr>
          <w:rFonts w:hint="eastAsia" w:ascii="宋体" w:hAnsi="宋体" w:eastAsia="宋体" w:cs="宋体"/>
          <w:color w:val="auto"/>
          <w:sz w:val="30"/>
          <w:szCs w:val="30"/>
          <w:lang w:eastAsia="zh-CN"/>
        </w:rPr>
        <w:t>建筑物</w:t>
      </w:r>
      <w:r>
        <w:rPr>
          <w:rFonts w:hint="eastAsia" w:ascii="宋体" w:hAnsi="宋体" w:eastAsia="宋体" w:cs="宋体"/>
          <w:color w:val="auto"/>
          <w:sz w:val="30"/>
          <w:szCs w:val="30"/>
        </w:rPr>
        <w:t>内</w:t>
      </w:r>
      <w:r>
        <w:rPr>
          <w:rFonts w:hint="eastAsia" w:ascii="宋体" w:hAnsi="宋体" w:eastAsia="宋体" w:cs="宋体"/>
          <w:color w:val="auto"/>
          <w:sz w:val="30"/>
          <w:szCs w:val="30"/>
          <w:lang w:eastAsia="zh-CN"/>
        </w:rPr>
        <w:t>工作</w:t>
      </w:r>
      <w:r>
        <w:rPr>
          <w:rFonts w:hint="eastAsia" w:ascii="宋体" w:hAnsi="宋体" w:eastAsia="宋体" w:cs="宋体"/>
          <w:color w:val="auto"/>
          <w:sz w:val="30"/>
          <w:szCs w:val="30"/>
        </w:rPr>
        <w:t>人员的办公</w:t>
      </w:r>
      <w:r>
        <w:rPr>
          <w:rFonts w:hint="eastAsia" w:ascii="宋体" w:hAnsi="宋体" w:eastAsia="宋体" w:cs="宋体"/>
          <w:color w:val="auto"/>
          <w:sz w:val="30"/>
          <w:szCs w:val="30"/>
          <w:lang w:eastAsia="zh-CN"/>
        </w:rPr>
        <w:t>、医疗秩序等</w:t>
      </w:r>
      <w:r>
        <w:rPr>
          <w:rFonts w:hint="eastAsia" w:ascii="宋体" w:hAnsi="宋体" w:eastAsia="宋体" w:cs="宋体"/>
          <w:color w:val="auto"/>
          <w:sz w:val="30"/>
          <w:szCs w:val="30"/>
        </w:rPr>
        <w:t>产生影响，应</w:t>
      </w:r>
      <w:r>
        <w:rPr>
          <w:rFonts w:hint="eastAsia" w:ascii="宋体" w:hAnsi="宋体" w:eastAsia="宋体" w:cs="宋体"/>
          <w:color w:val="auto"/>
          <w:sz w:val="30"/>
          <w:szCs w:val="30"/>
          <w:lang w:eastAsia="zh-CN"/>
        </w:rPr>
        <w:t>采取相应措施，</w:t>
      </w:r>
      <w:r>
        <w:rPr>
          <w:rFonts w:hint="eastAsia" w:ascii="宋体" w:hAnsi="宋体" w:eastAsia="宋体" w:cs="宋体"/>
          <w:color w:val="auto"/>
          <w:sz w:val="30"/>
          <w:szCs w:val="30"/>
        </w:rPr>
        <w:t>尽量保障</w:t>
      </w:r>
      <w:r>
        <w:rPr>
          <w:rFonts w:hint="eastAsia" w:ascii="宋体" w:hAnsi="宋体" w:eastAsia="宋体" w:cs="宋体"/>
          <w:color w:val="auto"/>
          <w:sz w:val="30"/>
          <w:szCs w:val="30"/>
          <w:lang w:eastAsia="zh-CN"/>
        </w:rPr>
        <w:t>工作区域内</w:t>
      </w:r>
      <w:r>
        <w:rPr>
          <w:rFonts w:hint="eastAsia" w:ascii="宋体" w:hAnsi="宋体" w:eastAsia="宋体" w:cs="宋体"/>
          <w:color w:val="auto"/>
          <w:sz w:val="30"/>
          <w:szCs w:val="30"/>
        </w:rPr>
        <w:t>人员的正常办公</w:t>
      </w:r>
      <w:r>
        <w:rPr>
          <w:rFonts w:hint="eastAsia" w:ascii="宋体" w:hAnsi="宋体" w:eastAsia="宋体" w:cs="宋体"/>
          <w:color w:val="auto"/>
          <w:sz w:val="30"/>
          <w:szCs w:val="30"/>
          <w:lang w:eastAsia="zh-CN"/>
        </w:rPr>
        <w:t>、维护医疗秩序</w:t>
      </w:r>
      <w:r>
        <w:rPr>
          <w:rFonts w:hint="eastAsia" w:ascii="宋体" w:hAnsi="宋体" w:eastAsia="宋体" w:cs="宋体"/>
          <w:color w:val="auto"/>
          <w:sz w:val="30"/>
          <w:szCs w:val="30"/>
        </w:rPr>
        <w:t>。</w:t>
      </w:r>
    </w:p>
    <w:p>
      <w:pPr>
        <w:spacing w:line="360" w:lineRule="auto"/>
        <w:ind w:firstLine="600" w:firstLineChars="200"/>
        <w:jc w:val="left"/>
        <w:rPr>
          <w:rFonts w:hint="default" w:eastAsia="宋体"/>
          <w:lang w:val="en-US" w:eastAsia="zh-CN"/>
        </w:rPr>
      </w:pPr>
      <w:r>
        <w:rPr>
          <w:rFonts w:hint="eastAsia" w:ascii="宋体" w:hAnsi="宋体" w:eastAsia="宋体" w:cs="宋体"/>
          <w:color w:val="auto"/>
          <w:sz w:val="30"/>
          <w:szCs w:val="30"/>
          <w:lang w:val="en-US" w:eastAsia="zh-CN"/>
        </w:rPr>
        <w:t>9、灭火器年检预算金额39022元整。检测完毕且合格后，并提供增值税发票10个工作日内，支付全额款项。</w:t>
      </w:r>
    </w:p>
    <w:p>
      <w:pPr>
        <w:spacing w:line="360" w:lineRule="auto"/>
        <w:ind w:firstLine="600" w:firstLineChars="200"/>
        <w:jc w:val="left"/>
        <w:rPr>
          <w:rFonts w:hint="default" w:ascii="宋体" w:hAnsi="宋体" w:eastAsia="宋体" w:cs="宋体"/>
          <w:color w:val="auto"/>
          <w:sz w:val="30"/>
          <w:szCs w:val="30"/>
          <w:lang w:val="en-US" w:eastAsia="zh-CN"/>
        </w:rPr>
      </w:pPr>
      <w:r>
        <w:rPr>
          <w:rFonts w:hint="eastAsia" w:ascii="宋体" w:hAnsi="宋体" w:eastAsia="宋体" w:cs="宋体"/>
          <w:color w:val="auto"/>
          <w:sz w:val="30"/>
          <w:szCs w:val="30"/>
          <w:lang w:val="en-US" w:eastAsia="zh-CN"/>
        </w:rPr>
        <w:t>10、</w:t>
      </w:r>
      <w:r>
        <w:rPr>
          <w:rFonts w:hint="eastAsia" w:ascii="宋体" w:hAnsi="宋体" w:eastAsia="宋体" w:cs="宋体"/>
          <w:color w:val="auto"/>
          <w:sz w:val="30"/>
          <w:szCs w:val="30"/>
          <w:highlight w:val="none"/>
          <w:lang w:val="en-US" w:eastAsia="zh-CN"/>
        </w:rPr>
        <w:t>灭火器明细表如下：</w:t>
      </w:r>
    </w:p>
    <w:p>
      <w:pPr>
        <w:autoSpaceDE w:val="0"/>
        <w:autoSpaceDN w:val="0"/>
        <w:adjustRightInd w:val="0"/>
        <w:spacing w:before="50" w:line="360" w:lineRule="auto"/>
        <w:rPr>
          <w:rFonts w:hint="eastAsia" w:ascii="宋体" w:hAnsi="宋体" w:eastAsia="宋体" w:cs="宋体"/>
          <w:color w:val="auto"/>
          <w:sz w:val="30"/>
          <w:szCs w:val="30"/>
          <w:highlight w:val="none"/>
          <w:lang w:val="en-US" w:eastAsia="zh-CN"/>
        </w:rPr>
      </w:pPr>
      <w:bookmarkStart w:id="0" w:name="_GoBack"/>
      <w:bookmarkEnd w:id="0"/>
    </w:p>
    <w:tbl>
      <w:tblPr>
        <w:tblStyle w:val="7"/>
        <w:tblpPr w:leftFromText="180" w:rightFromText="180" w:vertAnchor="text" w:horzAnchor="page" w:tblpX="1456" w:tblpY="617"/>
        <w:tblOverlap w:val="never"/>
        <w:tblW w:w="9217" w:type="dxa"/>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5109"/>
        <w:gridCol w:w="410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540" w:hRule="atLeast"/>
          <w:tblCellSpacing w:w="0" w:type="dxa"/>
        </w:trPr>
        <w:tc>
          <w:tcPr>
            <w:tcW w:w="5109" w:type="dxa"/>
            <w:tcBorders>
              <w:top w:val="single" w:color="000000" w:sz="6" w:space="0"/>
              <w:left w:val="single" w:color="000000" w:sz="6" w:space="0"/>
              <w:bottom w:val="single" w:color="000000" w:sz="6" w:space="0"/>
              <w:right w:val="single" w:color="000000" w:sz="6" w:space="0"/>
            </w:tcBorders>
            <w:shd w:val="clear" w:color="auto" w:fill="auto"/>
            <w:tcMar>
              <w:top w:w="20" w:type="dxa"/>
              <w:left w:w="20" w:type="dxa"/>
              <w:bottom w:w="72" w:type="dxa"/>
              <w:right w:w="20" w:type="dxa"/>
            </w:tcMar>
            <w:vAlign w:val="center"/>
          </w:tcPr>
          <w:p>
            <w:pPr>
              <w:pStyle w:val="6"/>
              <w:keepNext w:val="0"/>
              <w:keepLines w:val="0"/>
              <w:widowControl/>
              <w:suppressLineNumbers w:val="0"/>
              <w:rPr>
                <w:rFonts w:hint="default" w:eastAsia="微软雅黑"/>
                <w:lang w:val="en-US" w:eastAsia="zh-CN"/>
              </w:rPr>
            </w:pPr>
            <w:r>
              <w:rPr>
                <w:rFonts w:ascii="Arial" w:hAnsi="Arial" w:cs="Arial"/>
                <w:b/>
                <w:color w:val="000000"/>
                <w:sz w:val="24"/>
                <w:szCs w:val="24"/>
              </w:rPr>
              <w:t>灭火器名称/规格</w:t>
            </w:r>
            <w:r>
              <w:rPr>
                <w:rFonts w:hint="eastAsia" w:ascii="Arial" w:hAnsi="Arial" w:cs="Arial"/>
                <w:b/>
                <w:color w:val="000000"/>
                <w:sz w:val="24"/>
                <w:szCs w:val="24"/>
                <w:lang w:val="en-US" w:eastAsia="zh-CN"/>
              </w:rPr>
              <w:t xml:space="preserve">      应急病房</w:t>
            </w:r>
          </w:p>
        </w:tc>
        <w:tc>
          <w:tcPr>
            <w:tcW w:w="4108" w:type="dxa"/>
            <w:tcBorders>
              <w:top w:val="single" w:color="000000" w:sz="6" w:space="0"/>
              <w:left w:val="single" w:color="000000" w:sz="6" w:space="0"/>
              <w:bottom w:val="single" w:color="000000" w:sz="6" w:space="0"/>
              <w:right w:val="single" w:color="000000" w:sz="6" w:space="0"/>
            </w:tcBorders>
            <w:shd w:val="clear" w:color="auto" w:fill="auto"/>
            <w:tcMar>
              <w:top w:w="20" w:type="dxa"/>
              <w:left w:w="20" w:type="dxa"/>
              <w:bottom w:w="72" w:type="dxa"/>
              <w:right w:w="20" w:type="dxa"/>
            </w:tcMar>
            <w:vAlign w:val="center"/>
          </w:tcPr>
          <w:p>
            <w:pPr>
              <w:pStyle w:val="6"/>
              <w:keepNext w:val="0"/>
              <w:keepLines w:val="0"/>
              <w:widowControl/>
              <w:suppressLineNumbers w:val="0"/>
            </w:pPr>
            <w:r>
              <w:rPr>
                <w:rFonts w:hint="default" w:ascii="Arial" w:hAnsi="Arial" w:cs="Arial"/>
                <w:b/>
                <w:color w:val="000000"/>
                <w:sz w:val="24"/>
                <w:szCs w:val="24"/>
              </w:rPr>
              <w:t>数量（具）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0" w:hRule="atLeast"/>
          <w:tblCellSpacing w:w="0" w:type="dxa"/>
        </w:trPr>
        <w:tc>
          <w:tcPr>
            <w:tcW w:w="5109" w:type="dxa"/>
            <w:tcBorders>
              <w:top w:val="single" w:color="000000" w:sz="6" w:space="0"/>
              <w:left w:val="single" w:color="000000" w:sz="6" w:space="0"/>
              <w:bottom w:val="single" w:color="000000" w:sz="6" w:space="0"/>
              <w:right w:val="single" w:color="000000" w:sz="6" w:space="0"/>
            </w:tcBorders>
            <w:shd w:val="clear" w:color="auto" w:fill="auto"/>
            <w:tcMar>
              <w:top w:w="15" w:type="dxa"/>
              <w:left w:w="15" w:type="dxa"/>
              <w:right w:w="15" w:type="dxa"/>
            </w:tcMar>
            <w:vAlign w:val="center"/>
          </w:tcPr>
          <w:p>
            <w:pPr>
              <w:pStyle w:val="6"/>
              <w:keepNext w:val="0"/>
              <w:keepLines w:val="0"/>
              <w:widowControl/>
              <w:suppressLineNumbers w:val="0"/>
            </w:pPr>
            <w:r>
              <w:rPr>
                <w:rFonts w:ascii="仿宋_GB2312" w:eastAsia="仿宋_GB2312" w:cs="仿宋_GB2312"/>
                <w:color w:val="000000"/>
                <w:sz w:val="24"/>
                <w:szCs w:val="24"/>
              </w:rPr>
              <w:t>干粉灭火器</w:t>
            </w:r>
            <w:r>
              <w:rPr>
                <w:rFonts w:hint="default" w:ascii="仿宋_GB2312" w:eastAsia="仿宋_GB2312" w:cs="仿宋_GB2312"/>
                <w:color w:val="000000"/>
                <w:sz w:val="24"/>
                <w:szCs w:val="24"/>
              </w:rPr>
              <w:t>5Kg</w:t>
            </w:r>
          </w:p>
        </w:tc>
        <w:tc>
          <w:tcPr>
            <w:tcW w:w="4108" w:type="dxa"/>
            <w:tcBorders>
              <w:top w:val="single" w:color="000000" w:sz="6" w:space="0"/>
              <w:left w:val="single" w:color="000000" w:sz="6" w:space="0"/>
              <w:bottom w:val="single" w:color="000000" w:sz="6" w:space="0"/>
              <w:right w:val="single" w:color="000000" w:sz="6" w:space="0"/>
            </w:tcBorders>
            <w:shd w:val="clear" w:color="auto" w:fill="auto"/>
            <w:tcMar>
              <w:top w:w="15" w:type="dxa"/>
              <w:left w:w="15" w:type="dxa"/>
              <w:right w:w="15" w:type="dxa"/>
            </w:tcMar>
            <w:vAlign w:val="center"/>
          </w:tcPr>
          <w:p>
            <w:pPr>
              <w:pStyle w:val="6"/>
              <w:keepNext w:val="0"/>
              <w:keepLines w:val="0"/>
              <w:widowControl/>
              <w:suppressLineNumbers w:val="0"/>
              <w:rPr>
                <w:rFonts w:hint="default" w:eastAsia="微软雅黑"/>
                <w:lang w:val="en-US" w:eastAsia="zh-CN"/>
              </w:rPr>
            </w:pPr>
            <w:r>
              <w:rPr>
                <w:rFonts w:hint="eastAsia"/>
                <w:lang w:val="en-US" w:eastAsia="zh-CN"/>
              </w:rPr>
              <w:t>3237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0" w:hRule="atLeast"/>
          <w:tblCellSpacing w:w="0" w:type="dxa"/>
        </w:trPr>
        <w:tc>
          <w:tcPr>
            <w:tcW w:w="5109" w:type="dxa"/>
            <w:tcBorders>
              <w:top w:val="single" w:color="000000" w:sz="6" w:space="0"/>
              <w:left w:val="single" w:color="000000" w:sz="6" w:space="0"/>
              <w:bottom w:val="single" w:color="000000" w:sz="6" w:space="0"/>
              <w:right w:val="single" w:color="000000" w:sz="6" w:space="0"/>
            </w:tcBorders>
            <w:shd w:val="clear" w:color="auto" w:fill="auto"/>
            <w:tcMar>
              <w:top w:w="15" w:type="dxa"/>
              <w:left w:w="15" w:type="dxa"/>
              <w:right w:w="15" w:type="dxa"/>
            </w:tcMar>
            <w:vAlign w:val="center"/>
          </w:tcPr>
          <w:p>
            <w:pPr>
              <w:pStyle w:val="6"/>
              <w:keepNext w:val="0"/>
              <w:keepLines w:val="0"/>
              <w:widowControl/>
              <w:suppressLineNumbers w:val="0"/>
            </w:pPr>
            <w:r>
              <w:rPr>
                <w:rFonts w:hint="default" w:ascii="仿宋_GB2312" w:eastAsia="仿宋_GB2312" w:cs="仿宋_GB2312"/>
                <w:color w:val="000000"/>
                <w:sz w:val="24"/>
                <w:szCs w:val="24"/>
              </w:rPr>
              <w:t>干粉灭火器35Kg推车</w:t>
            </w:r>
          </w:p>
        </w:tc>
        <w:tc>
          <w:tcPr>
            <w:tcW w:w="4108" w:type="dxa"/>
            <w:tcBorders>
              <w:top w:val="single" w:color="000000" w:sz="6" w:space="0"/>
              <w:left w:val="single" w:color="000000" w:sz="6" w:space="0"/>
              <w:bottom w:val="single" w:color="000000" w:sz="6" w:space="0"/>
              <w:right w:val="single" w:color="000000" w:sz="6" w:space="0"/>
            </w:tcBorders>
            <w:shd w:val="clear" w:color="auto" w:fill="auto"/>
            <w:tcMar>
              <w:top w:w="15" w:type="dxa"/>
              <w:left w:w="15" w:type="dxa"/>
              <w:right w:w="15" w:type="dxa"/>
            </w:tcMar>
            <w:vAlign w:val="center"/>
          </w:tcPr>
          <w:p>
            <w:pPr>
              <w:pStyle w:val="6"/>
              <w:keepNext w:val="0"/>
              <w:keepLines w:val="0"/>
              <w:widowControl/>
              <w:suppressLineNumbers w:val="0"/>
            </w:pPr>
            <w:r>
              <w:rPr>
                <w:rFonts w:hint="default" w:ascii="仿宋_GB2312" w:eastAsia="仿宋_GB2312" w:cs="仿宋_GB2312"/>
                <w:color w:val="000000"/>
                <w:sz w:val="24"/>
                <w:szCs w:val="24"/>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0" w:hRule="atLeast"/>
          <w:tblCellSpacing w:w="0" w:type="dxa"/>
        </w:trPr>
        <w:tc>
          <w:tcPr>
            <w:tcW w:w="5109" w:type="dxa"/>
            <w:tcBorders>
              <w:top w:val="single" w:color="000000" w:sz="6" w:space="0"/>
              <w:left w:val="single" w:color="000000" w:sz="6" w:space="0"/>
              <w:bottom w:val="single" w:color="000000" w:sz="6" w:space="0"/>
              <w:right w:val="single" w:color="000000" w:sz="6" w:space="0"/>
            </w:tcBorders>
            <w:shd w:val="clear" w:color="auto" w:fill="auto"/>
            <w:tcMar>
              <w:top w:w="15" w:type="dxa"/>
              <w:left w:w="15" w:type="dxa"/>
              <w:right w:w="15" w:type="dxa"/>
            </w:tcMar>
            <w:vAlign w:val="center"/>
          </w:tcPr>
          <w:p>
            <w:pPr>
              <w:pStyle w:val="6"/>
              <w:keepNext w:val="0"/>
              <w:keepLines w:val="0"/>
              <w:widowControl/>
              <w:suppressLineNumbers w:val="0"/>
            </w:pPr>
            <w:r>
              <w:rPr>
                <w:rFonts w:hint="default" w:ascii="仿宋_GB2312" w:eastAsia="仿宋_GB2312" w:cs="仿宋_GB2312"/>
                <w:color w:val="000000"/>
                <w:sz w:val="24"/>
                <w:szCs w:val="24"/>
              </w:rPr>
              <w:t>二氧化碳灭火器3Kg</w:t>
            </w:r>
          </w:p>
        </w:tc>
        <w:tc>
          <w:tcPr>
            <w:tcW w:w="4108" w:type="dxa"/>
            <w:tcBorders>
              <w:top w:val="single" w:color="000000" w:sz="6" w:space="0"/>
              <w:left w:val="single" w:color="000000" w:sz="6" w:space="0"/>
              <w:bottom w:val="single" w:color="000000" w:sz="6" w:space="0"/>
              <w:right w:val="single" w:color="000000" w:sz="6" w:space="0"/>
            </w:tcBorders>
            <w:shd w:val="clear" w:color="auto" w:fill="auto"/>
            <w:tcMar>
              <w:top w:w="15" w:type="dxa"/>
              <w:left w:w="15" w:type="dxa"/>
              <w:right w:w="15" w:type="dxa"/>
            </w:tcMar>
            <w:vAlign w:val="center"/>
          </w:tcPr>
          <w:p>
            <w:pPr>
              <w:pStyle w:val="6"/>
              <w:keepNext w:val="0"/>
              <w:keepLines w:val="0"/>
              <w:widowControl/>
              <w:suppressLineNumbers w:val="0"/>
            </w:pPr>
            <w:r>
              <w:rPr>
                <w:rFonts w:hint="default" w:ascii="仿宋_GB2312" w:eastAsia="仿宋_GB2312" w:cs="仿宋_GB2312"/>
                <w:color w:val="000000"/>
                <w:sz w:val="24"/>
                <w:szCs w:val="24"/>
              </w:rPr>
              <w:t>200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0" w:hRule="atLeast"/>
          <w:tblCellSpacing w:w="0" w:type="dxa"/>
        </w:trPr>
        <w:tc>
          <w:tcPr>
            <w:tcW w:w="5109" w:type="dxa"/>
            <w:tcBorders>
              <w:top w:val="single" w:color="000000" w:sz="6" w:space="0"/>
              <w:left w:val="single" w:color="000000" w:sz="6" w:space="0"/>
              <w:bottom w:val="single" w:color="000000" w:sz="6" w:space="0"/>
              <w:right w:val="single" w:color="000000" w:sz="6" w:space="0"/>
            </w:tcBorders>
            <w:shd w:val="clear" w:color="auto" w:fill="auto"/>
            <w:tcMar>
              <w:top w:w="15" w:type="dxa"/>
              <w:left w:w="15" w:type="dxa"/>
              <w:right w:w="15" w:type="dxa"/>
            </w:tcMar>
            <w:vAlign w:val="center"/>
          </w:tcPr>
          <w:p>
            <w:pPr>
              <w:pStyle w:val="6"/>
              <w:keepNext w:val="0"/>
              <w:keepLines w:val="0"/>
              <w:widowControl/>
              <w:suppressLineNumbers w:val="0"/>
              <w:rPr>
                <w:rFonts w:hint="default" w:eastAsia="仿宋_GB2312"/>
                <w:lang w:val="en-US" w:eastAsia="zh-CN"/>
              </w:rPr>
            </w:pPr>
            <w:r>
              <w:rPr>
                <w:rFonts w:hint="default" w:ascii="仿宋_GB2312" w:eastAsia="仿宋_GB2312" w:cs="仿宋_GB2312"/>
                <w:color w:val="000000"/>
                <w:sz w:val="24"/>
                <w:szCs w:val="24"/>
              </w:rPr>
              <w:t>灶台灭火装置</w:t>
            </w:r>
          </w:p>
        </w:tc>
        <w:tc>
          <w:tcPr>
            <w:tcW w:w="4108" w:type="dxa"/>
            <w:tcBorders>
              <w:top w:val="single" w:color="000000" w:sz="6" w:space="0"/>
              <w:left w:val="single" w:color="000000" w:sz="6" w:space="0"/>
              <w:bottom w:val="single" w:color="000000" w:sz="6" w:space="0"/>
              <w:right w:val="single" w:color="000000" w:sz="6" w:space="0"/>
            </w:tcBorders>
            <w:shd w:val="clear" w:color="auto" w:fill="auto"/>
            <w:tcMar>
              <w:top w:w="15" w:type="dxa"/>
              <w:left w:w="15" w:type="dxa"/>
              <w:right w:w="15" w:type="dxa"/>
            </w:tcMar>
            <w:vAlign w:val="center"/>
          </w:tcPr>
          <w:p>
            <w:pPr>
              <w:pStyle w:val="6"/>
              <w:keepNext w:val="0"/>
              <w:keepLines w:val="0"/>
              <w:widowControl/>
              <w:suppressLineNumbers w:val="0"/>
            </w:pPr>
            <w:r>
              <w:rPr>
                <w:rFonts w:hint="default" w:ascii="仿宋_GB2312" w:eastAsia="仿宋_GB2312" w:cs="仿宋_GB2312"/>
                <w:color w:val="000000"/>
                <w:sz w:val="24"/>
                <w:szCs w:val="24"/>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0" w:hRule="atLeast"/>
          <w:tblCellSpacing w:w="0" w:type="dxa"/>
        </w:trPr>
        <w:tc>
          <w:tcPr>
            <w:tcW w:w="5109" w:type="dxa"/>
            <w:tcBorders>
              <w:top w:val="single" w:color="000000" w:sz="6" w:space="0"/>
              <w:left w:val="single" w:color="000000" w:sz="6" w:space="0"/>
              <w:bottom w:val="single" w:color="000000" w:sz="6" w:space="0"/>
              <w:right w:val="single" w:color="000000" w:sz="6" w:space="0"/>
            </w:tcBorders>
            <w:shd w:val="clear" w:color="auto" w:fill="auto"/>
            <w:tcMar>
              <w:top w:w="15" w:type="dxa"/>
              <w:left w:w="15" w:type="dxa"/>
              <w:right w:w="15" w:type="dxa"/>
            </w:tcMar>
            <w:vAlign w:val="center"/>
          </w:tcPr>
          <w:p>
            <w:pPr>
              <w:pStyle w:val="6"/>
              <w:keepNext w:val="0"/>
              <w:keepLines w:val="0"/>
              <w:widowControl/>
              <w:suppressLineNumbers w:val="0"/>
            </w:pPr>
            <w:r>
              <w:rPr>
                <w:rFonts w:hint="default" w:ascii="仿宋_GB2312" w:eastAsia="仿宋_GB2312" w:cs="仿宋_GB2312"/>
                <w:color w:val="000000"/>
                <w:sz w:val="24"/>
                <w:szCs w:val="24"/>
              </w:rPr>
              <w:t>二氧化碳灭火器5Kg</w:t>
            </w:r>
          </w:p>
        </w:tc>
        <w:tc>
          <w:tcPr>
            <w:tcW w:w="4108" w:type="dxa"/>
            <w:tcBorders>
              <w:top w:val="single" w:color="000000" w:sz="6" w:space="0"/>
              <w:left w:val="single" w:color="000000" w:sz="6" w:space="0"/>
              <w:bottom w:val="single" w:color="000000" w:sz="6" w:space="0"/>
              <w:right w:val="single" w:color="000000" w:sz="6" w:space="0"/>
            </w:tcBorders>
            <w:shd w:val="clear" w:color="auto" w:fill="auto"/>
            <w:tcMar>
              <w:top w:w="15" w:type="dxa"/>
              <w:left w:w="15" w:type="dxa"/>
              <w:right w:w="15" w:type="dxa"/>
            </w:tcMar>
            <w:vAlign w:val="center"/>
          </w:tcPr>
          <w:p>
            <w:pPr>
              <w:pStyle w:val="6"/>
              <w:keepNext w:val="0"/>
              <w:keepLines w:val="0"/>
              <w:widowControl/>
              <w:suppressLineNumbers w:val="0"/>
            </w:pPr>
            <w:r>
              <w:rPr>
                <w:rFonts w:hint="default" w:ascii="仿宋_GB2312" w:eastAsia="仿宋_GB2312" w:cs="仿宋_GB2312"/>
                <w:color w:val="000000"/>
                <w:sz w:val="24"/>
                <w:szCs w:val="24"/>
              </w:rPr>
              <w:t>24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0" w:hRule="atLeast"/>
          <w:tblCellSpacing w:w="0" w:type="dxa"/>
        </w:trPr>
        <w:tc>
          <w:tcPr>
            <w:tcW w:w="5109" w:type="dxa"/>
            <w:tcBorders>
              <w:top w:val="single" w:color="000000" w:sz="6" w:space="0"/>
              <w:left w:val="single" w:color="000000" w:sz="6" w:space="0"/>
              <w:bottom w:val="single" w:color="000000" w:sz="6" w:space="0"/>
              <w:right w:val="single" w:color="000000" w:sz="6" w:space="0"/>
            </w:tcBorders>
            <w:shd w:val="clear" w:color="auto" w:fill="auto"/>
            <w:tcMar>
              <w:top w:w="15" w:type="dxa"/>
              <w:left w:w="15" w:type="dxa"/>
              <w:right w:w="15" w:type="dxa"/>
            </w:tcMar>
            <w:vAlign w:val="center"/>
          </w:tcPr>
          <w:p>
            <w:pPr>
              <w:pStyle w:val="6"/>
              <w:keepNext w:val="0"/>
              <w:keepLines w:val="0"/>
              <w:widowControl/>
              <w:suppressLineNumbers w:val="0"/>
              <w:ind w:left="0" w:leftChars="0" w:right="0" w:rightChars="0"/>
              <w:rPr>
                <w:rFonts w:hint="default" w:ascii="仿宋_GB2312" w:eastAsia="仿宋_GB2312" w:cs="仿宋_GB2312"/>
                <w:color w:val="000000"/>
                <w:sz w:val="24"/>
                <w:szCs w:val="24"/>
                <w:lang w:val="en-US"/>
              </w:rPr>
            </w:pPr>
            <w:r>
              <w:rPr>
                <w:rFonts w:hint="eastAsia" w:ascii="仿宋_GB2312" w:eastAsia="仿宋_GB2312" w:cs="仿宋_GB2312"/>
                <w:color w:val="000000"/>
                <w:sz w:val="24"/>
                <w:szCs w:val="24"/>
                <w:lang w:val="en-US" w:eastAsia="zh-CN"/>
              </w:rPr>
              <w:t>气体灭火器81KG（七氟丙烷）</w:t>
            </w:r>
          </w:p>
        </w:tc>
        <w:tc>
          <w:tcPr>
            <w:tcW w:w="4108" w:type="dxa"/>
            <w:tcBorders>
              <w:top w:val="single" w:color="000000" w:sz="6" w:space="0"/>
              <w:left w:val="single" w:color="000000" w:sz="6" w:space="0"/>
              <w:bottom w:val="single" w:color="000000" w:sz="6" w:space="0"/>
              <w:right w:val="single" w:color="000000" w:sz="6" w:space="0"/>
            </w:tcBorders>
            <w:shd w:val="clear" w:color="auto" w:fill="auto"/>
            <w:tcMar>
              <w:top w:w="15" w:type="dxa"/>
              <w:left w:w="15" w:type="dxa"/>
              <w:right w:w="15" w:type="dxa"/>
            </w:tcMar>
            <w:vAlign w:val="center"/>
          </w:tcPr>
          <w:p>
            <w:pPr>
              <w:pStyle w:val="6"/>
              <w:keepNext w:val="0"/>
              <w:keepLines w:val="0"/>
              <w:widowControl/>
              <w:suppressLineNumbers w:val="0"/>
              <w:ind w:left="0" w:leftChars="0" w:right="0" w:rightChars="0"/>
              <w:rPr>
                <w:rFonts w:hint="default"/>
                <w:lang w:val="en-US" w:eastAsia="zh-CN"/>
              </w:rPr>
            </w:pPr>
            <w:r>
              <w:rPr>
                <w:rFonts w:hint="eastAsia"/>
                <w:lang w:val="en-US" w:eastAsia="zh-CN"/>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0" w:hRule="atLeast"/>
          <w:tblCellSpacing w:w="0" w:type="dxa"/>
        </w:trPr>
        <w:tc>
          <w:tcPr>
            <w:tcW w:w="5109" w:type="dxa"/>
            <w:tcBorders>
              <w:top w:val="single" w:color="000000" w:sz="6" w:space="0"/>
              <w:left w:val="single" w:color="000000" w:sz="6" w:space="0"/>
              <w:bottom w:val="single" w:color="000000" w:sz="6" w:space="0"/>
              <w:right w:val="single" w:color="000000" w:sz="6" w:space="0"/>
            </w:tcBorders>
            <w:shd w:val="clear" w:color="auto" w:fill="auto"/>
            <w:tcMar>
              <w:top w:w="15" w:type="dxa"/>
              <w:left w:w="15" w:type="dxa"/>
              <w:right w:w="15" w:type="dxa"/>
            </w:tcMar>
            <w:vAlign w:val="center"/>
          </w:tcPr>
          <w:p>
            <w:pPr>
              <w:pStyle w:val="6"/>
              <w:keepNext w:val="0"/>
              <w:keepLines w:val="0"/>
              <w:widowControl/>
              <w:suppressLineNumbers w:val="0"/>
              <w:rPr>
                <w:rFonts w:hint="default" w:eastAsia="仿宋_GB2312"/>
                <w:lang w:val="en-US" w:eastAsia="zh-CN"/>
              </w:rPr>
            </w:pPr>
            <w:r>
              <w:rPr>
                <w:rFonts w:hint="default" w:ascii="仿宋_GB2312" w:eastAsia="仿宋_GB2312" w:cs="仿宋_GB2312"/>
                <w:color w:val="000000"/>
                <w:sz w:val="24"/>
                <w:szCs w:val="24"/>
              </w:rPr>
              <w:t>吊装灭火器 8Kg</w:t>
            </w:r>
            <w:r>
              <w:rPr>
                <w:rFonts w:hint="eastAsia" w:ascii="仿宋_GB2312" w:eastAsia="仿宋_GB2312" w:cs="仿宋_GB2312"/>
                <w:color w:val="000000"/>
                <w:sz w:val="24"/>
                <w:szCs w:val="24"/>
                <w:lang w:eastAsia="zh-CN"/>
              </w:rPr>
              <w:t>（</w:t>
            </w:r>
            <w:r>
              <w:rPr>
                <w:rFonts w:hint="eastAsia" w:ascii="仿宋_GB2312" w:eastAsia="仿宋_GB2312" w:cs="仿宋_GB2312"/>
                <w:color w:val="000000"/>
                <w:sz w:val="24"/>
                <w:szCs w:val="24"/>
                <w:lang w:val="en-US" w:eastAsia="zh-CN"/>
              </w:rPr>
              <w:t>危化品库8，行李寄存间4）</w:t>
            </w:r>
          </w:p>
        </w:tc>
        <w:tc>
          <w:tcPr>
            <w:tcW w:w="4108" w:type="dxa"/>
            <w:tcBorders>
              <w:top w:val="single" w:color="000000" w:sz="6" w:space="0"/>
              <w:left w:val="single" w:color="000000" w:sz="6" w:space="0"/>
              <w:bottom w:val="single" w:color="000000" w:sz="6" w:space="0"/>
              <w:right w:val="single" w:color="000000" w:sz="6" w:space="0"/>
            </w:tcBorders>
            <w:shd w:val="clear" w:color="auto" w:fill="auto"/>
            <w:tcMar>
              <w:top w:w="15" w:type="dxa"/>
              <w:left w:w="15" w:type="dxa"/>
              <w:right w:w="15" w:type="dxa"/>
            </w:tcMar>
            <w:vAlign w:val="center"/>
          </w:tcPr>
          <w:p>
            <w:pPr>
              <w:pStyle w:val="6"/>
              <w:keepNext w:val="0"/>
              <w:keepLines w:val="0"/>
              <w:widowControl/>
              <w:suppressLineNumbers w:val="0"/>
              <w:rPr>
                <w:rFonts w:hint="default" w:eastAsia="微软雅黑"/>
                <w:lang w:val="en-US" w:eastAsia="zh-CN"/>
              </w:rPr>
            </w:pPr>
            <w:r>
              <w:rPr>
                <w:rFonts w:hint="eastAsia"/>
                <w:lang w:val="en-US" w:eastAsia="zh-CN"/>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0" w:hRule="atLeast"/>
          <w:tblCellSpacing w:w="0" w:type="dxa"/>
        </w:trPr>
        <w:tc>
          <w:tcPr>
            <w:tcW w:w="5109" w:type="dxa"/>
            <w:tcBorders>
              <w:top w:val="single" w:color="000000" w:sz="6" w:space="0"/>
              <w:left w:val="single" w:color="000000" w:sz="6" w:space="0"/>
              <w:bottom w:val="single" w:color="000000" w:sz="6" w:space="0"/>
              <w:right w:val="single" w:color="000000" w:sz="6" w:space="0"/>
            </w:tcBorders>
            <w:shd w:val="clear" w:color="auto" w:fill="auto"/>
            <w:tcMar>
              <w:top w:w="20" w:type="dxa"/>
              <w:left w:w="20" w:type="dxa"/>
              <w:bottom w:w="72" w:type="dxa"/>
              <w:right w:w="20" w:type="dxa"/>
            </w:tcMar>
            <w:vAlign w:val="center"/>
          </w:tcPr>
          <w:p>
            <w:pPr>
              <w:pStyle w:val="6"/>
              <w:keepNext w:val="0"/>
              <w:keepLines w:val="0"/>
              <w:widowControl/>
              <w:suppressLineNumbers w:val="0"/>
            </w:pPr>
            <w:r>
              <w:rPr>
                <w:rFonts w:hint="default" w:ascii="仿宋_GB2312" w:eastAsia="仿宋_GB2312" w:cs="仿宋_GB2312"/>
                <w:color w:val="000000"/>
                <w:sz w:val="24"/>
                <w:szCs w:val="24"/>
              </w:rPr>
              <w:t>合计</w:t>
            </w:r>
          </w:p>
        </w:tc>
        <w:tc>
          <w:tcPr>
            <w:tcW w:w="4108" w:type="dxa"/>
            <w:tcBorders>
              <w:top w:val="single" w:color="000000" w:sz="6" w:space="0"/>
              <w:left w:val="single" w:color="000000" w:sz="6" w:space="0"/>
              <w:bottom w:val="single" w:color="000000" w:sz="6" w:space="0"/>
              <w:right w:val="single" w:color="000000" w:sz="6" w:space="0"/>
            </w:tcBorders>
            <w:shd w:val="clear" w:color="auto" w:fill="auto"/>
            <w:tcMar>
              <w:top w:w="20" w:type="dxa"/>
              <w:left w:w="20" w:type="dxa"/>
              <w:bottom w:w="72" w:type="dxa"/>
              <w:right w:w="20" w:type="dxa"/>
            </w:tcMar>
            <w:vAlign w:val="center"/>
          </w:tcPr>
          <w:p>
            <w:pPr>
              <w:pStyle w:val="6"/>
              <w:keepNext w:val="0"/>
              <w:keepLines w:val="0"/>
              <w:widowControl/>
              <w:suppressLineNumbers w:val="0"/>
              <w:rPr>
                <w:rFonts w:hint="default" w:eastAsia="仿宋_GB2312"/>
                <w:lang w:val="en-US" w:eastAsia="zh-CN"/>
              </w:rPr>
            </w:pPr>
            <w:r>
              <w:rPr>
                <w:rFonts w:hint="eastAsia" w:eastAsia="仿宋_GB2312"/>
                <w:lang w:val="en-US" w:eastAsia="zh-CN"/>
              </w:rPr>
              <w:t>3485</w:t>
            </w:r>
          </w:p>
        </w:tc>
      </w:tr>
    </w:tbl>
    <w:p>
      <w:pPr>
        <w:autoSpaceDE w:val="0"/>
        <w:autoSpaceDN w:val="0"/>
        <w:adjustRightInd w:val="0"/>
        <w:spacing w:before="50" w:line="360" w:lineRule="auto"/>
        <w:ind w:firstLine="600" w:firstLineChars="200"/>
        <w:rPr>
          <w:rFonts w:hint="eastAsia" w:ascii="宋体" w:hAnsi="宋体" w:eastAsia="宋体" w:cs="宋体"/>
          <w:color w:val="auto"/>
          <w:sz w:val="30"/>
          <w:szCs w:val="30"/>
          <w:highlight w:val="none"/>
          <w:lang w:val="en-US" w:eastAsia="zh-CN"/>
        </w:rPr>
      </w:pPr>
    </w:p>
    <w:p>
      <w:pPr>
        <w:pStyle w:val="2"/>
        <w:rPr>
          <w:rFonts w:hint="eastAsia"/>
          <w:lang w:val="en-US" w:eastAsia="zh-CN"/>
        </w:rPr>
      </w:pPr>
    </w:p>
    <w:p>
      <w:pPr>
        <w:rPr>
          <w:b/>
          <w:bCs/>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507267"/>
    <w:multiLevelType w:val="singleLevel"/>
    <w:tmpl w:val="4A507267"/>
    <w:lvl w:ilvl="0" w:tentative="0">
      <w:start w:val="1"/>
      <w:numFmt w:val="decimal"/>
      <w:suff w:val="nothing"/>
      <w:lvlText w:val="%1、"/>
      <w:lvlJc w:val="left"/>
    </w:lvl>
  </w:abstractNum>
  <w:abstractNum w:abstractNumId="1">
    <w:nsid w:val="535778F6"/>
    <w:multiLevelType w:val="multilevel"/>
    <w:tmpl w:val="535778F6"/>
    <w:lvl w:ilvl="0" w:tentative="0">
      <w:start w:val="1"/>
      <w:numFmt w:val="chineseCountingThousand"/>
      <w:suff w:val="nothing"/>
      <w:lvlText w:val="%1、"/>
      <w:lvlJc w:val="left"/>
      <w:rPr>
        <w:rFonts w:hint="eastAsia"/>
        <w:b/>
        <w:i w:val="0"/>
        <w:sz w:val="24"/>
      </w:rPr>
    </w:lvl>
    <w:lvl w:ilvl="1" w:tentative="0">
      <w:start w:val="1"/>
      <w:numFmt w:val="decimal"/>
      <w:suff w:val="nothing"/>
      <w:lvlText w:val="%2. "/>
      <w:lvlJc w:val="left"/>
      <w:rPr>
        <w:rFonts w:hint="eastAsia"/>
        <w:b w:val="0"/>
        <w:i w:val="0"/>
        <w:sz w:val="24"/>
      </w:rPr>
    </w:lvl>
    <w:lvl w:ilvl="2" w:tentative="0">
      <w:start w:val="1"/>
      <w:numFmt w:val="none"/>
      <w:pStyle w:val="5"/>
      <w:suff w:val="nothing"/>
      <w:lvlText w:val=""/>
      <w:lvlJc w:val="left"/>
      <w:rPr>
        <w:rFonts w:hint="eastAsia"/>
      </w:rPr>
    </w:lvl>
    <w:lvl w:ilvl="3" w:tentative="0">
      <w:start w:val="1"/>
      <w:numFmt w:val="none"/>
      <w:suff w:val="nothing"/>
      <w:lvlText w:val=""/>
      <w:lvlJc w:val="left"/>
      <w:rPr>
        <w:rFonts w:hint="eastAsia"/>
      </w:rPr>
    </w:lvl>
    <w:lvl w:ilvl="4" w:tentative="0">
      <w:start w:val="1"/>
      <w:numFmt w:val="none"/>
      <w:suff w:val="nothing"/>
      <w:lvlText w:val=""/>
      <w:lvlJc w:val="left"/>
      <w:rPr>
        <w:rFonts w:hint="eastAsia"/>
      </w:rPr>
    </w:lvl>
    <w:lvl w:ilvl="5" w:tentative="0">
      <w:start w:val="1"/>
      <w:numFmt w:val="none"/>
      <w:suff w:val="nothing"/>
      <w:lvlText w:val=""/>
      <w:lvlJc w:val="left"/>
      <w:rPr>
        <w:rFonts w:hint="eastAsia"/>
      </w:rPr>
    </w:lvl>
    <w:lvl w:ilvl="6" w:tentative="0">
      <w:start w:val="1"/>
      <w:numFmt w:val="none"/>
      <w:suff w:val="nothing"/>
      <w:lvlText w:val=""/>
      <w:lvlJc w:val="left"/>
      <w:rPr>
        <w:rFonts w:hint="eastAsia"/>
      </w:rPr>
    </w:lvl>
    <w:lvl w:ilvl="7" w:tentative="0">
      <w:start w:val="1"/>
      <w:numFmt w:val="none"/>
      <w:suff w:val="nothing"/>
      <w:lvlText w:val=""/>
      <w:lvlJc w:val="left"/>
      <w:rPr>
        <w:rFonts w:hint="eastAsia"/>
      </w:rPr>
    </w:lvl>
    <w:lvl w:ilvl="8" w:tentative="0">
      <w:start w:val="1"/>
      <w:numFmt w:val="none"/>
      <w:suff w:val="nothing"/>
      <w:lvlText w:val=""/>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E1YTFmZDBjYzRhZjY0NWQzOGVlZmE0MTNkOWM0NWQifQ=="/>
  </w:docVars>
  <w:rsids>
    <w:rsidRoot w:val="782822E6"/>
    <w:rsid w:val="00745D49"/>
    <w:rsid w:val="03113684"/>
    <w:rsid w:val="045F48DF"/>
    <w:rsid w:val="0588793F"/>
    <w:rsid w:val="06264B3E"/>
    <w:rsid w:val="062E24EB"/>
    <w:rsid w:val="0E84618B"/>
    <w:rsid w:val="151C599B"/>
    <w:rsid w:val="190D1D1C"/>
    <w:rsid w:val="195F6F80"/>
    <w:rsid w:val="1E361750"/>
    <w:rsid w:val="298173AD"/>
    <w:rsid w:val="3431166B"/>
    <w:rsid w:val="34E76421"/>
    <w:rsid w:val="35CD77FF"/>
    <w:rsid w:val="35F9675F"/>
    <w:rsid w:val="36C83532"/>
    <w:rsid w:val="3B860D28"/>
    <w:rsid w:val="42CF5F02"/>
    <w:rsid w:val="461D190B"/>
    <w:rsid w:val="48DA206D"/>
    <w:rsid w:val="4AB717E5"/>
    <w:rsid w:val="4BD1391E"/>
    <w:rsid w:val="52313343"/>
    <w:rsid w:val="563006A9"/>
    <w:rsid w:val="589D0C8F"/>
    <w:rsid w:val="5DC97FAF"/>
    <w:rsid w:val="5F733CA2"/>
    <w:rsid w:val="66D52951"/>
    <w:rsid w:val="6B746E87"/>
    <w:rsid w:val="737A11C8"/>
    <w:rsid w:val="768A2C8C"/>
    <w:rsid w:val="77642A02"/>
    <w:rsid w:val="782822E6"/>
    <w:rsid w:val="7865066E"/>
    <w:rsid w:val="794753B4"/>
    <w:rsid w:val="7B167001"/>
    <w:rsid w:val="7E8B41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微软雅黑" w:cs="Times New Roman"/>
      <w:kern w:val="2"/>
      <w:sz w:val="21"/>
      <w:szCs w:val="21"/>
      <w:lang w:val="en-US" w:eastAsia="zh-CN" w:bidi="ar-SA"/>
    </w:rPr>
  </w:style>
  <w:style w:type="paragraph" w:styleId="5">
    <w:name w:val="heading 3"/>
    <w:basedOn w:val="1"/>
    <w:next w:val="1"/>
    <w:qFormat/>
    <w:uiPriority w:val="0"/>
    <w:pPr>
      <w:keepNext/>
      <w:keepLines/>
      <w:numPr>
        <w:ilvl w:val="2"/>
        <w:numId w:val="1"/>
      </w:numPr>
      <w:adjustRightInd w:val="0"/>
      <w:spacing w:before="240" w:after="120" w:line="300" w:lineRule="auto"/>
      <w:jc w:val="left"/>
      <w:textAlignment w:val="baseline"/>
      <w:outlineLvl w:val="2"/>
    </w:pPr>
    <w:rPr>
      <w:b/>
      <w:kern w:val="0"/>
    </w:rPr>
  </w:style>
  <w:style w:type="character" w:default="1" w:styleId="8">
    <w:name w:val="Default Paragraph Font"/>
    <w:semiHidden/>
    <w:qFormat/>
    <w:uiPriority w:val="0"/>
  </w:style>
  <w:style w:type="table" w:default="1" w:styleId="7">
    <w:name w:val="Normal Table"/>
    <w:semiHidden/>
    <w:qFormat/>
    <w:uiPriority w:val="0"/>
    <w:tblPr>
      <w:tblLayout w:type="fixed"/>
      <w:tblCellMar>
        <w:top w:w="0" w:type="dxa"/>
        <w:left w:w="108" w:type="dxa"/>
        <w:bottom w:w="0" w:type="dxa"/>
        <w:right w:w="108" w:type="dxa"/>
      </w:tblCellMar>
    </w:tblPr>
  </w:style>
  <w:style w:type="paragraph" w:styleId="2">
    <w:name w:val="Body Text First Indent 2"/>
    <w:basedOn w:val="3"/>
    <w:qFormat/>
    <w:uiPriority w:val="0"/>
    <w:pPr>
      <w:tabs>
        <w:tab w:val="left" w:pos="8640"/>
      </w:tabs>
      <w:spacing w:after="120"/>
      <w:ind w:left="420" w:leftChars="200" w:firstLine="420" w:firstLineChars="200"/>
    </w:pPr>
  </w:style>
  <w:style w:type="paragraph" w:styleId="3">
    <w:name w:val="Body Text Indent"/>
    <w:basedOn w:val="1"/>
    <w:next w:val="4"/>
    <w:qFormat/>
    <w:uiPriority w:val="0"/>
    <w:pPr>
      <w:tabs>
        <w:tab w:val="left" w:pos="8640"/>
      </w:tabs>
      <w:ind w:left="1365"/>
    </w:pPr>
  </w:style>
  <w:style w:type="paragraph" w:styleId="4">
    <w:name w:val="envelope return"/>
    <w:qFormat/>
    <w:uiPriority w:val="99"/>
    <w:pPr>
      <w:widowControl w:val="0"/>
      <w:snapToGrid w:val="0"/>
      <w:jc w:val="both"/>
    </w:pPr>
    <w:rPr>
      <w:rFonts w:ascii="Arial" w:hAnsi="Arial" w:eastAsia="宋体" w:cs="Arial"/>
      <w:kern w:val="2"/>
      <w:sz w:val="21"/>
      <w:szCs w:val="24"/>
      <w:lang w:val="en-US" w:eastAsia="zh-CN" w:bidi="ar-SA"/>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Office_11.8.2.8696_F1E327BC-269C-435d-A152-05C5408002CA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2024-09-18T05:51:00Z</dcterms:created>
  <dc:creator>睡不醒的小狼</dc:creator>
  <cp:lastModifiedBy>高莉</cp:lastModifiedBy>
  <dcterms:modified xsi:type="dcterms:W3CDTF">2026-09-28T02:07:02Z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2052-11.8.2.8696</vt:lpwstr>
  </property>
  <property fmtid="{D5CDD505-2E9C-101B-9397-08002B2CF9AE}" pid="3" name="ICV">
    <vt:lpwstr>AAC7DA18C5CC4BD4A2D451F15C642D0A_11</vt:lpwstr>
  </property>
</Properties>
</file>