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sz w:val="36"/>
          <w:szCs w:val="36"/>
        </w:rPr>
      </w:pPr>
      <w:r>
        <w:rPr>
          <w:rFonts w:hint="eastAsia" w:ascii="方正小标宋简体" w:hAnsi="方正小标宋简体" w:eastAsia="方正小标宋简体" w:cs="方正小标宋简体"/>
          <w:sz w:val="36"/>
          <w:szCs w:val="36"/>
        </w:rPr>
        <w:t>北京小汤山医院污水站及消防泵房消除安全隐患升级改造工程深基坑第三方监测服务采购需求</w:t>
      </w:r>
    </w:p>
    <w:p/>
    <w:p>
      <w:pPr>
        <w:keepNext w:val="0"/>
        <w:keepLines w:val="0"/>
        <w:pageBreakBefore w:val="0"/>
        <w:widowControl w:val="0"/>
        <w:numPr>
          <w:ilvl w:val="0"/>
          <w:numId w:val="1"/>
        </w:numPr>
        <w:kinsoku/>
        <w:wordWrap/>
        <w:overflowPunct/>
        <w:topLinePunct w:val="0"/>
        <w:autoSpaceDE/>
        <w:autoSpaceDN/>
        <w:bidi w:val="0"/>
        <w:adjustRightInd/>
        <w:snapToGrid/>
        <w:ind w:firstLine="562" w:firstLineChars="200"/>
        <w:textAlignment w:val="auto"/>
        <w:rPr>
          <w:rFonts w:hint="eastAsia" w:ascii="仿宋" w:hAnsi="仿宋" w:eastAsia="仿宋"/>
          <w:sz w:val="28"/>
          <w:szCs w:val="28"/>
          <w:lang w:eastAsia="zh-CN"/>
        </w:rPr>
      </w:pPr>
      <w:r>
        <w:rPr>
          <w:rFonts w:hint="eastAsia" w:ascii="仿宋" w:hAnsi="仿宋" w:eastAsia="仿宋"/>
          <w:b/>
          <w:sz w:val="28"/>
          <w:szCs w:val="28"/>
        </w:rPr>
        <w:t>采购内容：</w:t>
      </w:r>
      <w:r>
        <w:rPr>
          <w:rFonts w:hint="eastAsia" w:ascii="仿宋" w:hAnsi="仿宋" w:eastAsia="仿宋"/>
          <w:sz w:val="28"/>
          <w:szCs w:val="28"/>
          <w:lang w:eastAsia="zh-CN"/>
        </w:rPr>
        <w:t>北京小汤山医院污水站及消防泵房消除安全隐患升级改造工程深基坑第三方监测服务。</w:t>
      </w:r>
    </w:p>
    <w:p>
      <w:pPr>
        <w:keepNext w:val="0"/>
        <w:keepLines w:val="0"/>
        <w:pageBreakBefore w:val="0"/>
        <w:widowControl w:val="0"/>
        <w:numPr>
          <w:ilvl w:val="0"/>
          <w:numId w:val="1"/>
        </w:numPr>
        <w:kinsoku/>
        <w:wordWrap/>
        <w:overflowPunct/>
        <w:topLinePunct w:val="0"/>
        <w:autoSpaceDE/>
        <w:autoSpaceDN/>
        <w:bidi w:val="0"/>
        <w:adjustRightInd/>
        <w:snapToGrid/>
        <w:ind w:left="0" w:leftChars="0" w:firstLine="562" w:firstLineChars="200"/>
        <w:textAlignment w:val="auto"/>
        <w:rPr>
          <w:rFonts w:hint="eastAsia" w:ascii="仿宋" w:hAnsi="仿宋" w:eastAsia="仿宋"/>
          <w:b/>
          <w:sz w:val="28"/>
          <w:szCs w:val="28"/>
          <w:lang w:eastAsia="zh-CN"/>
        </w:rPr>
      </w:pPr>
      <w:r>
        <w:rPr>
          <w:rFonts w:hint="eastAsia" w:ascii="仿宋" w:hAnsi="仿宋" w:eastAsia="仿宋"/>
          <w:b/>
          <w:sz w:val="28"/>
          <w:szCs w:val="28"/>
          <w:lang w:eastAsia="zh-CN"/>
        </w:rPr>
        <w:t>服务期：</w:t>
      </w:r>
      <w:r>
        <w:rPr>
          <w:rFonts w:hint="eastAsia" w:ascii="仿宋" w:hAnsi="仿宋" w:eastAsia="仿宋"/>
          <w:b w:val="0"/>
          <w:bCs/>
          <w:sz w:val="28"/>
          <w:szCs w:val="28"/>
          <w:lang w:eastAsia="zh-CN"/>
        </w:rPr>
        <w:t>自合同签订之日起至工程项目竣工验收与试运行。监测工作应覆盖基坑施工全过程，至基坑回填、变形稳定并按规范停测，提交完整监测总结报告为止</w:t>
      </w:r>
      <w:r>
        <w:rPr>
          <w:rFonts w:hint="eastAsia" w:ascii="仿宋" w:hAnsi="仿宋" w:eastAsia="仿宋"/>
          <w:b w:val="0"/>
          <w:bCs/>
          <w:sz w:val="28"/>
          <w:szCs w:val="28"/>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ind w:leftChars="0" w:firstLine="562" w:firstLineChars="200"/>
        <w:textAlignment w:val="auto"/>
        <w:rPr>
          <w:rFonts w:hint="eastAsia" w:ascii="仿宋" w:hAnsi="仿宋" w:eastAsia="仿宋"/>
          <w:b w:val="0"/>
          <w:bCs/>
          <w:sz w:val="28"/>
          <w:szCs w:val="28"/>
          <w:lang w:eastAsia="zh-CN"/>
        </w:rPr>
      </w:pPr>
      <w:r>
        <w:rPr>
          <w:rFonts w:hint="eastAsia" w:ascii="仿宋" w:hAnsi="仿宋" w:eastAsia="仿宋"/>
          <w:b/>
          <w:sz w:val="28"/>
          <w:szCs w:val="28"/>
          <w:lang w:eastAsia="zh-CN"/>
        </w:rPr>
        <w:t>三、服务范围：</w:t>
      </w:r>
      <w:r>
        <w:rPr>
          <w:rFonts w:hint="eastAsia" w:ascii="仿宋" w:hAnsi="仿宋" w:eastAsia="仿宋"/>
          <w:b w:val="0"/>
          <w:bCs/>
          <w:sz w:val="28"/>
          <w:szCs w:val="28"/>
          <w:lang w:eastAsia="zh-CN"/>
        </w:rPr>
        <w:t>本项目包含消防水池及污水站两个子项。污水站和消防泵房结构形式均为混凝土水池，污水站基础顶标高为-5.450m，消防泵房最深处基础顶标高为-5.500m，基坑开挖深度均超过5m，采用钢板桩+锚喷支护。依据《危险性较大的分部分项工程安全管理规定》（住建部令第37号）及《建筑基坑工程监测技术标准》（GB50497-2019），本项目属于超过一定规模的危险性较大的分部分项工程，需由建设单位委托具备相应勘察资质的第三方监测单位实施全过程监测。</w:t>
      </w:r>
    </w:p>
    <w:p>
      <w:pPr>
        <w:keepNext w:val="0"/>
        <w:keepLines w:val="0"/>
        <w:pageBreakBefore w:val="0"/>
        <w:widowControl w:val="0"/>
        <w:numPr>
          <w:ilvl w:val="0"/>
          <w:numId w:val="0"/>
        </w:numPr>
        <w:kinsoku/>
        <w:wordWrap/>
        <w:overflowPunct/>
        <w:topLinePunct w:val="0"/>
        <w:autoSpaceDE/>
        <w:autoSpaceDN/>
        <w:bidi w:val="0"/>
        <w:adjustRightInd/>
        <w:snapToGrid/>
        <w:ind w:leftChars="0" w:firstLine="560" w:firstLineChars="200"/>
        <w:textAlignment w:val="auto"/>
        <w:rPr>
          <w:rFonts w:hint="eastAsia" w:ascii="仿宋" w:hAnsi="仿宋" w:eastAsia="仿宋"/>
          <w:b w:val="0"/>
          <w:bCs/>
          <w:sz w:val="28"/>
          <w:szCs w:val="28"/>
          <w:lang w:eastAsia="zh-CN"/>
        </w:rPr>
      </w:pPr>
      <w:r>
        <w:rPr>
          <w:rFonts w:hint="eastAsia" w:ascii="仿宋" w:hAnsi="仿宋" w:eastAsia="仿宋"/>
          <w:b w:val="0"/>
          <w:bCs/>
          <w:sz w:val="28"/>
          <w:szCs w:val="28"/>
          <w:lang w:eastAsia="zh-CN"/>
        </w:rPr>
        <w:t>服务范围包括但不限于以下内容：</w:t>
      </w:r>
    </w:p>
    <w:p>
      <w:pPr>
        <w:keepNext w:val="0"/>
        <w:keepLines w:val="0"/>
        <w:pageBreakBefore w:val="0"/>
        <w:widowControl w:val="0"/>
        <w:numPr>
          <w:ilvl w:val="0"/>
          <w:numId w:val="0"/>
        </w:numPr>
        <w:kinsoku/>
        <w:wordWrap/>
        <w:overflowPunct/>
        <w:topLinePunct w:val="0"/>
        <w:autoSpaceDE/>
        <w:autoSpaceDN/>
        <w:bidi w:val="0"/>
        <w:adjustRightInd/>
        <w:snapToGrid/>
        <w:ind w:leftChars="0" w:firstLine="560" w:firstLineChars="200"/>
        <w:textAlignment w:val="auto"/>
        <w:rPr>
          <w:rFonts w:hint="eastAsia" w:ascii="仿宋" w:hAnsi="仿宋" w:eastAsia="仿宋"/>
          <w:b w:val="0"/>
          <w:bCs/>
          <w:sz w:val="28"/>
          <w:szCs w:val="28"/>
          <w:lang w:eastAsia="zh-CN"/>
        </w:rPr>
      </w:pPr>
      <w:r>
        <w:rPr>
          <w:rFonts w:hint="eastAsia" w:ascii="仿宋" w:hAnsi="仿宋" w:eastAsia="仿宋"/>
          <w:b w:val="0"/>
          <w:bCs/>
          <w:sz w:val="28"/>
          <w:szCs w:val="28"/>
          <w:lang w:eastAsia="zh-CN"/>
        </w:rPr>
        <w:t>（1）基坑本体监测：基坑顶部水平位移、竖向位移，深层水平位移，锚杆/土钉拉力，支护结构裂缝、变形，地下水位等。</w:t>
      </w:r>
    </w:p>
    <w:p>
      <w:pPr>
        <w:keepNext w:val="0"/>
        <w:keepLines w:val="0"/>
        <w:pageBreakBefore w:val="0"/>
        <w:widowControl w:val="0"/>
        <w:numPr>
          <w:ilvl w:val="0"/>
          <w:numId w:val="0"/>
        </w:numPr>
        <w:kinsoku/>
        <w:wordWrap/>
        <w:overflowPunct/>
        <w:topLinePunct w:val="0"/>
        <w:autoSpaceDE/>
        <w:autoSpaceDN/>
        <w:bidi w:val="0"/>
        <w:adjustRightInd/>
        <w:snapToGrid/>
        <w:ind w:leftChars="0" w:firstLine="560" w:firstLineChars="200"/>
        <w:textAlignment w:val="auto"/>
        <w:rPr>
          <w:rFonts w:hint="eastAsia" w:ascii="仿宋" w:hAnsi="仿宋" w:eastAsia="仿宋"/>
          <w:b w:val="0"/>
          <w:bCs/>
          <w:sz w:val="28"/>
          <w:szCs w:val="28"/>
          <w:lang w:eastAsia="zh-CN"/>
        </w:rPr>
      </w:pPr>
      <w:r>
        <w:rPr>
          <w:rFonts w:hint="eastAsia" w:ascii="仿宋" w:hAnsi="仿宋" w:eastAsia="仿宋"/>
          <w:b w:val="0"/>
          <w:bCs/>
          <w:sz w:val="28"/>
          <w:szCs w:val="28"/>
          <w:lang w:eastAsia="zh-CN"/>
        </w:rPr>
        <w:t>（2）周边环境监测：周边地表沉降，周边道路、管线、建筑物沉降及倾斜、裂缝等。</w:t>
      </w:r>
    </w:p>
    <w:p>
      <w:pPr>
        <w:keepNext w:val="0"/>
        <w:keepLines w:val="0"/>
        <w:pageBreakBefore w:val="0"/>
        <w:widowControl w:val="0"/>
        <w:numPr>
          <w:ilvl w:val="0"/>
          <w:numId w:val="0"/>
        </w:numPr>
        <w:kinsoku/>
        <w:wordWrap/>
        <w:overflowPunct/>
        <w:topLinePunct w:val="0"/>
        <w:autoSpaceDE/>
        <w:autoSpaceDN/>
        <w:bidi w:val="0"/>
        <w:adjustRightInd/>
        <w:snapToGrid/>
        <w:ind w:leftChars="0" w:firstLine="560" w:firstLineChars="200"/>
        <w:textAlignment w:val="auto"/>
        <w:rPr>
          <w:rFonts w:hint="eastAsia" w:ascii="仿宋" w:hAnsi="仿宋" w:eastAsia="仿宋"/>
          <w:b w:val="0"/>
          <w:bCs/>
          <w:sz w:val="28"/>
          <w:szCs w:val="28"/>
          <w:lang w:eastAsia="zh-CN"/>
        </w:rPr>
      </w:pPr>
      <w:r>
        <w:rPr>
          <w:rFonts w:hint="eastAsia" w:ascii="仿宋" w:hAnsi="仿宋" w:eastAsia="仿宋"/>
          <w:b w:val="0"/>
          <w:bCs/>
          <w:sz w:val="28"/>
          <w:szCs w:val="28"/>
          <w:lang w:eastAsia="zh-CN"/>
        </w:rPr>
        <w:t>（3）巡视检查：支护结构、施工工况、周边环境、监测设施等日常巡视检查。</w:t>
      </w:r>
    </w:p>
    <w:p>
      <w:pPr>
        <w:keepNext w:val="0"/>
        <w:keepLines w:val="0"/>
        <w:pageBreakBefore w:val="0"/>
        <w:widowControl w:val="0"/>
        <w:numPr>
          <w:ilvl w:val="0"/>
          <w:numId w:val="0"/>
        </w:numPr>
        <w:kinsoku/>
        <w:wordWrap/>
        <w:overflowPunct/>
        <w:topLinePunct w:val="0"/>
        <w:autoSpaceDE/>
        <w:autoSpaceDN/>
        <w:bidi w:val="0"/>
        <w:adjustRightInd/>
        <w:snapToGrid/>
        <w:ind w:leftChars="0" w:firstLine="560" w:firstLineChars="200"/>
        <w:textAlignment w:val="auto"/>
        <w:rPr>
          <w:rFonts w:hint="eastAsia" w:ascii="仿宋" w:hAnsi="仿宋" w:eastAsia="仿宋"/>
          <w:b w:val="0"/>
          <w:bCs/>
          <w:sz w:val="28"/>
          <w:szCs w:val="28"/>
          <w:lang w:eastAsia="zh-CN"/>
        </w:rPr>
      </w:pPr>
      <w:r>
        <w:rPr>
          <w:rFonts w:hint="eastAsia" w:ascii="仿宋" w:hAnsi="仿宋" w:eastAsia="仿宋"/>
          <w:b w:val="0"/>
          <w:bCs/>
          <w:sz w:val="28"/>
          <w:szCs w:val="28"/>
          <w:lang w:eastAsia="zh-CN"/>
        </w:rPr>
        <w:t>（4）监测方案编制、监测点布设、初始值采集、全过程观测、数据分析、预警报警、监测报告编制等。</w:t>
      </w:r>
    </w:p>
    <w:p>
      <w:pPr>
        <w:keepNext w:val="0"/>
        <w:keepLines w:val="0"/>
        <w:pageBreakBefore w:val="0"/>
        <w:widowControl w:val="0"/>
        <w:numPr>
          <w:ilvl w:val="0"/>
          <w:numId w:val="0"/>
        </w:numPr>
        <w:kinsoku/>
        <w:wordWrap/>
        <w:overflowPunct/>
        <w:topLinePunct w:val="0"/>
        <w:autoSpaceDE/>
        <w:autoSpaceDN/>
        <w:bidi w:val="0"/>
        <w:adjustRightInd/>
        <w:snapToGrid/>
        <w:ind w:leftChars="0" w:firstLine="560" w:firstLineChars="200"/>
        <w:textAlignment w:val="auto"/>
        <w:rPr>
          <w:rFonts w:hint="eastAsia" w:ascii="仿宋" w:hAnsi="仿宋" w:eastAsia="仿宋"/>
          <w:b w:val="0"/>
          <w:bCs/>
          <w:sz w:val="28"/>
          <w:szCs w:val="28"/>
          <w:lang w:eastAsia="zh-CN"/>
        </w:rPr>
      </w:pPr>
      <w:r>
        <w:rPr>
          <w:rFonts w:hint="eastAsia" w:ascii="仿宋" w:hAnsi="仿宋" w:eastAsia="仿宋"/>
          <w:b w:val="0"/>
          <w:bCs/>
          <w:sz w:val="28"/>
          <w:szCs w:val="28"/>
          <w:lang w:eastAsia="zh-CN"/>
        </w:rPr>
        <w:t>（5）配合专家论证、安全检查、竣工验收、试运行及采购人要求的其他相关工作。</w:t>
      </w:r>
    </w:p>
    <w:p>
      <w:pPr>
        <w:keepNext w:val="0"/>
        <w:keepLines w:val="0"/>
        <w:pageBreakBefore w:val="0"/>
        <w:widowControl w:val="0"/>
        <w:numPr>
          <w:ilvl w:val="0"/>
          <w:numId w:val="0"/>
        </w:numPr>
        <w:kinsoku/>
        <w:wordWrap/>
        <w:overflowPunct/>
        <w:topLinePunct w:val="0"/>
        <w:autoSpaceDE/>
        <w:autoSpaceDN/>
        <w:bidi w:val="0"/>
        <w:adjustRightInd/>
        <w:snapToGrid/>
        <w:ind w:leftChars="0" w:firstLine="560" w:firstLineChars="200"/>
        <w:textAlignment w:val="auto"/>
        <w:rPr>
          <w:rFonts w:hint="eastAsia" w:ascii="仿宋" w:hAnsi="仿宋" w:eastAsia="仿宋"/>
          <w:b w:val="0"/>
          <w:bCs/>
          <w:sz w:val="28"/>
          <w:szCs w:val="28"/>
          <w:lang w:eastAsia="zh-CN"/>
        </w:rPr>
      </w:pPr>
      <w:r>
        <w:rPr>
          <w:rFonts w:hint="eastAsia" w:ascii="仿宋" w:hAnsi="仿宋" w:eastAsia="仿宋"/>
          <w:b w:val="0"/>
          <w:bCs/>
          <w:sz w:val="28"/>
          <w:szCs w:val="28"/>
          <w:lang w:eastAsia="zh-CN"/>
        </w:rPr>
        <w:t>（6）如相关管理部门有需要，也必须按照相关部门要求配合完成相应的监测管理工作。</w:t>
      </w:r>
    </w:p>
    <w:p>
      <w:pPr>
        <w:keepNext w:val="0"/>
        <w:keepLines w:val="0"/>
        <w:pageBreakBefore w:val="0"/>
        <w:widowControl w:val="0"/>
        <w:numPr>
          <w:ilvl w:val="0"/>
          <w:numId w:val="0"/>
        </w:numPr>
        <w:kinsoku/>
        <w:wordWrap/>
        <w:overflowPunct/>
        <w:topLinePunct w:val="0"/>
        <w:autoSpaceDE/>
        <w:autoSpaceDN/>
        <w:bidi w:val="0"/>
        <w:adjustRightInd/>
        <w:snapToGrid/>
        <w:ind w:leftChars="0" w:firstLine="560" w:firstLineChars="200"/>
        <w:textAlignment w:val="auto"/>
        <w:rPr>
          <w:rFonts w:hint="eastAsia" w:ascii="仿宋" w:hAnsi="仿宋" w:eastAsia="仿宋"/>
          <w:b/>
          <w:sz w:val="28"/>
          <w:szCs w:val="28"/>
          <w:lang w:eastAsia="zh-CN"/>
        </w:rPr>
      </w:pPr>
      <w:r>
        <w:rPr>
          <w:rFonts w:hint="eastAsia" w:ascii="仿宋" w:hAnsi="仿宋" w:eastAsia="仿宋"/>
          <w:b w:val="0"/>
          <w:bCs/>
          <w:sz w:val="28"/>
          <w:szCs w:val="28"/>
          <w:lang w:eastAsia="zh-CN"/>
        </w:rPr>
        <w:t>具体监测项目、点位、频率、报警值以设计文件、现行规范及经批准的监测方案为准。</w:t>
      </w:r>
    </w:p>
    <w:p>
      <w:pPr>
        <w:keepNext w:val="0"/>
        <w:keepLines w:val="0"/>
        <w:pageBreakBefore w:val="0"/>
        <w:widowControl w:val="0"/>
        <w:numPr>
          <w:ilvl w:val="0"/>
          <w:numId w:val="0"/>
        </w:numPr>
        <w:kinsoku/>
        <w:wordWrap/>
        <w:overflowPunct/>
        <w:topLinePunct w:val="0"/>
        <w:autoSpaceDE/>
        <w:autoSpaceDN/>
        <w:bidi w:val="0"/>
        <w:adjustRightInd/>
        <w:snapToGrid/>
        <w:ind w:leftChars="0" w:firstLine="562" w:firstLineChars="200"/>
        <w:textAlignment w:val="auto"/>
        <w:rPr>
          <w:rFonts w:ascii="仿宋" w:hAnsi="仿宋" w:eastAsia="仿宋"/>
          <w:b/>
          <w:sz w:val="28"/>
          <w:szCs w:val="28"/>
        </w:rPr>
      </w:pPr>
      <w:r>
        <w:rPr>
          <w:rFonts w:hint="eastAsia" w:ascii="仿宋" w:hAnsi="仿宋" w:eastAsia="仿宋"/>
          <w:b/>
          <w:sz w:val="28"/>
          <w:szCs w:val="28"/>
          <w:lang w:eastAsia="zh-CN"/>
        </w:rPr>
        <w:t>四</w:t>
      </w:r>
      <w:r>
        <w:rPr>
          <w:rFonts w:ascii="仿宋" w:hAnsi="仿宋" w:eastAsia="仿宋"/>
          <w:b/>
          <w:sz w:val="28"/>
          <w:szCs w:val="28"/>
        </w:rPr>
        <w:t>、</w:t>
      </w:r>
      <w:r>
        <w:rPr>
          <w:rFonts w:hint="eastAsia" w:ascii="仿宋" w:hAnsi="仿宋" w:eastAsia="仿宋"/>
          <w:b/>
          <w:sz w:val="28"/>
          <w:szCs w:val="28"/>
          <w:lang w:eastAsia="zh-CN"/>
        </w:rPr>
        <w:t>服务</w:t>
      </w:r>
      <w:r>
        <w:rPr>
          <w:rFonts w:ascii="仿宋" w:hAnsi="仿宋" w:eastAsia="仿宋"/>
          <w:b/>
          <w:sz w:val="28"/>
          <w:szCs w:val="28"/>
        </w:rPr>
        <w:t>需求：</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lang w:eastAsia="zh-CN"/>
        </w:rPr>
        <w:t>（</w:t>
      </w:r>
      <w:r>
        <w:rPr>
          <w:rFonts w:hint="eastAsia" w:ascii="仿宋" w:hAnsi="仿宋" w:eastAsia="仿宋"/>
          <w:sz w:val="28"/>
          <w:szCs w:val="28"/>
          <w:lang w:val="en-US" w:eastAsia="zh-CN"/>
        </w:rPr>
        <w:t>1</w:t>
      </w:r>
      <w:r>
        <w:rPr>
          <w:rFonts w:hint="eastAsia" w:ascii="仿宋" w:hAnsi="仿宋" w:eastAsia="仿宋"/>
          <w:sz w:val="28"/>
          <w:szCs w:val="28"/>
          <w:lang w:eastAsia="zh-CN"/>
        </w:rPr>
        <w:t>）</w:t>
      </w:r>
      <w:r>
        <w:rPr>
          <w:rFonts w:hint="eastAsia" w:ascii="仿宋" w:hAnsi="仿宋" w:eastAsia="仿宋"/>
          <w:sz w:val="28"/>
          <w:szCs w:val="28"/>
        </w:rPr>
        <w:t>第三方监测单位应独立、客观、真实地反映基坑及周边环境实际状态，与施工单位无隶属关系或其他利害关系。第三方监测与施工单位自行监测形成“双重保障”，不能相互替代。</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（2）第三方监测单位应负责编制针对本项目的深基坑第三方监测方案，明确监测项目、点位布设、监测频率、报警值、人员设备、数据处理与反馈机制等，经采购人、监理、设计等相关单位确认后实施。</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（3）第三方监测单位应对国家、北京市深基坑工程监测相关法规、规范及技术要求具有深刻理解，并在中标后提交针对本项目的监测方案、服务计划、人员设备安排及类似项目经验总结。</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（4）服务团队人员应具备相应执业（从业）资格，项目负责人应具备注册土木工程师（岩土）资格或相关专业高级及以上职称，主要监测人员应具备深基坑监测经验，并符合国家相关执业资格管理规定。</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（5）监测频率应满足《建筑基坑工程监测技术标准》（GB50497-2019）及设计要求，开挖期间加密监测，变形稳定后逐步降低频率，直至按规范停测。</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（6）监测数据应及时整理、分析。当监测数据达到或超过报警值，或出现异常变化时，应立即报告采购人、监理、施工等相关单位，并提交报警专报及处置建议。</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（7）提交成果应包括但不限于：监测方案、监测点布设记录、原始监测记录、监测日报/周报/月报、报警专报、监测总结报告等。监测总结报告应作为竣工验收资料及时提交。</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（8）编制的监测方案、监测报告应确保内容完整、科学、准确，符合工程项目实际情况和国家、北京市有关工程监测规范。如咨询成果不符合要求，采购人有权终止合同。</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（9）第三方监测单位应拥有足够的人力、财力、物力和技术能力等资源，保证按时、按质、按量完成委托的监测业务。</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（10）应具有健全的组织机构和内部管理制度</w:t>
      </w:r>
      <w:r>
        <w:rPr>
          <w:rFonts w:hint="eastAsia" w:ascii="仿宋" w:hAnsi="仿宋" w:eastAsia="仿宋"/>
          <w:sz w:val="28"/>
          <w:szCs w:val="28"/>
          <w:lang w:eastAsia="zh-CN"/>
        </w:rPr>
        <w:t>，具</w:t>
      </w:r>
      <w:r>
        <w:rPr>
          <w:rFonts w:hint="eastAsia" w:ascii="仿宋" w:hAnsi="仿宋" w:eastAsia="仿宋"/>
          <w:sz w:val="28"/>
          <w:szCs w:val="28"/>
        </w:rPr>
        <w:t>有完善的质量保证体系和技术经济档案管理制度</w:t>
      </w:r>
      <w:r>
        <w:rPr>
          <w:rFonts w:hint="eastAsia" w:ascii="仿宋" w:hAnsi="仿宋" w:eastAsia="仿宋"/>
          <w:sz w:val="28"/>
          <w:szCs w:val="28"/>
          <w:lang w:eastAsia="zh-CN"/>
        </w:rPr>
        <w:t>，具</w:t>
      </w:r>
      <w:r>
        <w:rPr>
          <w:rFonts w:hint="eastAsia" w:ascii="仿宋" w:hAnsi="仿宋" w:eastAsia="仿宋"/>
          <w:sz w:val="28"/>
          <w:szCs w:val="28"/>
        </w:rPr>
        <w:t>有良好的服务态度和较好的社会信誉。</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（11）应有针对本次采购而制定的服务计划及承诺。</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（12）委托项目完成时间要求：根据采购人实际要求的时间完成。</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（13）预算及报价：投标人按总价报价，最高不超过</w:t>
      </w:r>
      <w:r>
        <w:rPr>
          <w:rFonts w:hint="eastAsia" w:ascii="仿宋" w:hAnsi="仿宋" w:eastAsia="仿宋"/>
          <w:sz w:val="28"/>
          <w:szCs w:val="28"/>
          <w:highlight w:val="none"/>
          <w:lang w:val="en-US" w:eastAsia="zh-CN"/>
        </w:rPr>
        <w:t>7.4</w:t>
      </w:r>
      <w:r>
        <w:rPr>
          <w:rFonts w:hint="eastAsia" w:ascii="仿宋" w:hAnsi="仿宋" w:eastAsia="仿宋"/>
          <w:sz w:val="28"/>
          <w:szCs w:val="28"/>
        </w:rPr>
        <w:t>万元。报价应包含完成本项目全部监测服务所需的人工、设备、材料、交通、安全、报告、税费等全部费用。</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（14）支付规则：</w:t>
      </w:r>
      <w:r>
        <w:rPr>
          <w:rFonts w:hint="eastAsia" w:ascii="仿宋" w:hAnsi="仿宋" w:eastAsia="仿宋"/>
          <w:sz w:val="28"/>
          <w:szCs w:val="28"/>
          <w:lang w:eastAsia="zh-CN"/>
        </w:rPr>
        <w:t>当前的基坑支护方式为钢板桩+锚喷支护形式，最终支护方式需二次深化设计后确定，最终结算价需根据现场最终支护方案</w:t>
      </w:r>
      <w:r>
        <w:rPr>
          <w:rFonts w:hint="eastAsia" w:ascii="仿宋" w:hAnsi="仿宋" w:eastAsia="仿宋"/>
          <w:sz w:val="28"/>
          <w:szCs w:val="28"/>
        </w:rPr>
        <w:t>以合同约定及审计/财政评审结果为准。</w:t>
      </w:r>
    </w:p>
    <w:p>
      <w:pPr>
        <w:keepNext w:val="0"/>
        <w:keepLines w:val="0"/>
        <w:pageBreakBefore w:val="0"/>
        <w:widowControl w:val="0"/>
        <w:kinsoku/>
        <w:wordWrap/>
        <w:overflowPunct/>
        <w:topLinePunct w:val="0"/>
        <w:autoSpaceDE/>
        <w:autoSpaceDN/>
        <w:bidi w:val="0"/>
        <w:adjustRightInd/>
        <w:snapToGrid/>
        <w:ind w:firstLine="562" w:firstLineChars="200"/>
        <w:textAlignment w:val="auto"/>
        <w:rPr>
          <w:rFonts w:ascii="仿宋" w:hAnsi="仿宋" w:eastAsia="仿宋"/>
          <w:b/>
          <w:sz w:val="28"/>
          <w:szCs w:val="28"/>
        </w:rPr>
      </w:pPr>
      <w:r>
        <w:rPr>
          <w:rFonts w:hint="eastAsia" w:ascii="仿宋" w:hAnsi="仿宋" w:eastAsia="仿宋"/>
          <w:b/>
          <w:sz w:val="28"/>
          <w:szCs w:val="28"/>
        </w:rPr>
        <w:t>五</w:t>
      </w:r>
      <w:r>
        <w:rPr>
          <w:rFonts w:ascii="仿宋" w:hAnsi="仿宋" w:eastAsia="仿宋"/>
          <w:b/>
          <w:sz w:val="28"/>
          <w:szCs w:val="28"/>
        </w:rPr>
        <w:t>、</w:t>
      </w:r>
      <w:r>
        <w:rPr>
          <w:rFonts w:hint="eastAsia" w:ascii="仿宋" w:hAnsi="仿宋" w:eastAsia="仿宋"/>
          <w:b/>
          <w:sz w:val="28"/>
          <w:szCs w:val="28"/>
        </w:rPr>
        <w:t>投标人资格要求：</w:t>
      </w:r>
    </w:p>
    <w:p>
      <w:pPr>
        <w:ind w:firstLine="420"/>
        <w:rPr>
          <w:rFonts w:hint="eastAsia" w:ascii="仿宋" w:hAnsi="仿宋" w:eastAsia="仿宋"/>
          <w:sz w:val="28"/>
          <w:szCs w:val="28"/>
        </w:rPr>
      </w:pPr>
      <w:r>
        <w:rPr>
          <w:rFonts w:hint="eastAsia" w:ascii="仿宋" w:hAnsi="仿宋" w:eastAsia="仿宋"/>
          <w:sz w:val="28"/>
          <w:szCs w:val="28"/>
        </w:rPr>
        <w:t>资质要求：</w:t>
      </w:r>
      <w:r>
        <w:rPr>
          <w:rFonts w:hint="eastAsia" w:ascii="仿宋" w:hAnsi="仿宋" w:eastAsia="仿宋"/>
          <w:sz w:val="28"/>
          <w:szCs w:val="28"/>
          <w:lang w:eastAsia="zh-CN"/>
        </w:rPr>
        <w:t>须具备</w:t>
      </w:r>
      <w:r>
        <w:rPr>
          <w:rFonts w:hint="eastAsia" w:ascii="仿宋" w:hAnsi="仿宋" w:eastAsia="仿宋"/>
          <w:sz w:val="28"/>
          <w:szCs w:val="28"/>
        </w:rPr>
        <w:t>工程勘察综合类甲级资质或工程勘察专业类（岩土工程）乙级及以上资质，或符合住建部令第37号、GB50497-2019要求的相应勘察资质和监测能力。</w:t>
      </w:r>
    </w:p>
    <w:p>
      <w:pPr>
        <w:ind w:firstLine="420"/>
        <w:rPr>
          <w:rFonts w:hint="eastAsia" w:ascii="仿宋" w:hAnsi="仿宋" w:eastAsia="仿宋"/>
          <w:sz w:val="28"/>
          <w:szCs w:val="28"/>
        </w:rPr>
      </w:pPr>
      <w:r>
        <w:rPr>
          <w:rFonts w:hint="eastAsia" w:ascii="仿宋" w:hAnsi="仿宋" w:eastAsia="仿宋"/>
          <w:sz w:val="28"/>
          <w:szCs w:val="28"/>
        </w:rPr>
        <w:t>其他要求：</w:t>
      </w:r>
    </w:p>
    <w:p>
      <w:pPr>
        <w:ind w:firstLine="420"/>
        <w:rPr>
          <w:rFonts w:hint="eastAsia" w:ascii="仿宋" w:hAnsi="仿宋" w:eastAsia="仿宋"/>
          <w:sz w:val="28"/>
          <w:szCs w:val="28"/>
        </w:rPr>
      </w:pPr>
      <w:r>
        <w:rPr>
          <w:rFonts w:hint="eastAsia" w:ascii="仿宋" w:hAnsi="仿宋" w:eastAsia="仿宋"/>
          <w:sz w:val="28"/>
          <w:szCs w:val="28"/>
        </w:rPr>
        <w:t>（1）具有独立法人资格，持有有效营业执照。</w:t>
      </w:r>
    </w:p>
    <w:p>
      <w:pPr>
        <w:ind w:firstLine="420"/>
        <w:rPr>
          <w:rFonts w:hint="eastAsia" w:ascii="仿宋" w:hAnsi="仿宋" w:eastAsia="仿宋"/>
          <w:sz w:val="28"/>
          <w:szCs w:val="28"/>
        </w:rPr>
      </w:pPr>
      <w:r>
        <w:rPr>
          <w:rFonts w:hint="eastAsia" w:ascii="仿宋" w:hAnsi="仿宋" w:eastAsia="仿宋"/>
          <w:sz w:val="28"/>
          <w:szCs w:val="28"/>
        </w:rPr>
        <w:t>（2）项目负责人具备注册土木工程师（岩土）资格或相关专业高级及以上职称；主要监测人员具备相应执业（从业）资格和深基坑监测经验。</w:t>
      </w:r>
    </w:p>
    <w:p>
      <w:pPr>
        <w:ind w:firstLine="420"/>
        <w:rPr>
          <w:rFonts w:hint="eastAsia" w:ascii="仿宋" w:hAnsi="仿宋" w:eastAsia="仿宋"/>
          <w:sz w:val="28"/>
          <w:szCs w:val="28"/>
        </w:rPr>
      </w:pPr>
      <w:r>
        <w:rPr>
          <w:rFonts w:hint="eastAsia" w:ascii="仿宋" w:hAnsi="仿宋" w:eastAsia="仿宋"/>
          <w:sz w:val="28"/>
          <w:szCs w:val="28"/>
        </w:rPr>
        <w:t>（3）近三年具有类似深基坑第三方监测业绩，信用良好，无重大违法记录及重大监测质量事故。</w:t>
      </w:r>
    </w:p>
    <w:p>
      <w:pPr>
        <w:ind w:firstLine="420"/>
        <w:rPr>
          <w:rFonts w:hint="eastAsia" w:ascii="仿宋" w:hAnsi="仿宋" w:eastAsia="仿宋"/>
          <w:sz w:val="28"/>
          <w:szCs w:val="28"/>
        </w:rPr>
      </w:pPr>
      <w:r>
        <w:rPr>
          <w:rFonts w:hint="eastAsia" w:ascii="仿宋" w:hAnsi="仿宋" w:eastAsia="仿宋"/>
          <w:sz w:val="28"/>
          <w:szCs w:val="28"/>
        </w:rPr>
        <w:t>（4）具备完善的质量保证体系、档案管理制度和安全管理体系。</w:t>
      </w:r>
    </w:p>
    <w:p>
      <w:pPr>
        <w:ind w:firstLine="420"/>
        <w:rPr>
          <w:rFonts w:hint="eastAsia" w:ascii="仿宋" w:hAnsi="仿宋" w:eastAsia="仿宋"/>
          <w:sz w:val="28"/>
          <w:szCs w:val="28"/>
          <w:lang w:eastAsia="zh-CN"/>
        </w:rPr>
      </w:pPr>
      <w:r>
        <w:rPr>
          <w:rFonts w:hint="eastAsia" w:ascii="仿宋" w:hAnsi="仿宋" w:eastAsia="仿宋"/>
          <w:sz w:val="28"/>
          <w:szCs w:val="28"/>
        </w:rPr>
        <w:t>（5）本项目不接受联合体投标</w:t>
      </w:r>
      <w:bookmarkStart w:id="0" w:name="_GoBack"/>
      <w:bookmarkEnd w:id="0"/>
      <w:r>
        <w:rPr>
          <w:rFonts w:hint="eastAsia" w:ascii="仿宋" w:hAnsi="仿宋" w:eastAsia="仿宋"/>
          <w:sz w:val="28"/>
          <w:szCs w:val="28"/>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3000509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1FD9DA"/>
    <w:multiLevelType w:val="singleLevel"/>
    <w:tmpl w:val="791FD9D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A2N2RjNTIyOTI3NTFjZTQ0ZWE3MDExZWI4YTE5ZWEifQ=="/>
  </w:docVars>
  <w:rsids>
    <w:rsidRoot w:val="00573653"/>
    <w:rsid w:val="000064F8"/>
    <w:rsid w:val="000671A5"/>
    <w:rsid w:val="00142DA4"/>
    <w:rsid w:val="003A6C29"/>
    <w:rsid w:val="003E3087"/>
    <w:rsid w:val="004271CF"/>
    <w:rsid w:val="00527A9C"/>
    <w:rsid w:val="00573653"/>
    <w:rsid w:val="00A65496"/>
    <w:rsid w:val="00A95450"/>
    <w:rsid w:val="00B5712A"/>
    <w:rsid w:val="00BC646D"/>
    <w:rsid w:val="00C33D89"/>
    <w:rsid w:val="00CD7AFC"/>
    <w:rsid w:val="00CE4179"/>
    <w:rsid w:val="00D1489F"/>
    <w:rsid w:val="00DC3346"/>
    <w:rsid w:val="00EC01B9"/>
    <w:rsid w:val="00ED3C98"/>
    <w:rsid w:val="00EF282E"/>
    <w:rsid w:val="00FE445E"/>
    <w:rsid w:val="02201D8C"/>
    <w:rsid w:val="08FA6E92"/>
    <w:rsid w:val="096B1B3E"/>
    <w:rsid w:val="0E8A2A67"/>
    <w:rsid w:val="0FF07241"/>
    <w:rsid w:val="10DE353E"/>
    <w:rsid w:val="13196AAF"/>
    <w:rsid w:val="1B542D7A"/>
    <w:rsid w:val="1F1E6A64"/>
    <w:rsid w:val="212C3E51"/>
    <w:rsid w:val="21E5472C"/>
    <w:rsid w:val="22775755"/>
    <w:rsid w:val="2A8074CE"/>
    <w:rsid w:val="2C5A1872"/>
    <w:rsid w:val="2EE51102"/>
    <w:rsid w:val="2F5363D9"/>
    <w:rsid w:val="32D85BE7"/>
    <w:rsid w:val="35D93CC5"/>
    <w:rsid w:val="39C857C4"/>
    <w:rsid w:val="3A712BA9"/>
    <w:rsid w:val="3FFA0F4B"/>
    <w:rsid w:val="42F73E67"/>
    <w:rsid w:val="47723ABC"/>
    <w:rsid w:val="47DF4813"/>
    <w:rsid w:val="48465D4E"/>
    <w:rsid w:val="4DA92202"/>
    <w:rsid w:val="4DFF1F2E"/>
    <w:rsid w:val="581B1F4E"/>
    <w:rsid w:val="5D123920"/>
    <w:rsid w:val="5EE44E48"/>
    <w:rsid w:val="629B6165"/>
    <w:rsid w:val="6533523B"/>
    <w:rsid w:val="661C75BD"/>
    <w:rsid w:val="69951B60"/>
    <w:rsid w:val="6B6930AB"/>
    <w:rsid w:val="6BA51E03"/>
    <w:rsid w:val="6CAD71C1"/>
    <w:rsid w:val="74714F78"/>
    <w:rsid w:val="75E43528"/>
    <w:rsid w:val="769E5DCD"/>
    <w:rsid w:val="775D7A36"/>
    <w:rsid w:val="78306EF8"/>
    <w:rsid w:val="7BC110D2"/>
    <w:rsid w:val="7C1508DF"/>
    <w:rsid w:val="7D845D1C"/>
    <w:rsid w:val="7EDC1B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link w:val="12"/>
    <w:semiHidden/>
    <w:unhideWhenUsed/>
    <w:qFormat/>
    <w:uiPriority w:val="99"/>
    <w:pPr>
      <w:spacing w:after="120"/>
    </w:pPr>
  </w:style>
  <w:style w:type="paragraph" w:styleId="3">
    <w:name w:val="Body Text Indent"/>
    <w:basedOn w:val="1"/>
    <w:link w:val="10"/>
    <w:semiHidden/>
    <w:unhideWhenUsed/>
    <w:qFormat/>
    <w:uiPriority w:val="99"/>
    <w:pPr>
      <w:spacing w:after="120"/>
      <w:ind w:left="420" w:leftChars="200"/>
    </w:pPr>
  </w:style>
  <w:style w:type="paragraph" w:styleId="4">
    <w:name w:val="footer"/>
    <w:basedOn w:val="1"/>
    <w:link w:val="15"/>
    <w:unhideWhenUsed/>
    <w:qFormat/>
    <w:uiPriority w:val="99"/>
    <w:pPr>
      <w:tabs>
        <w:tab w:val="center" w:pos="4153"/>
        <w:tab w:val="right" w:pos="8306"/>
      </w:tabs>
      <w:snapToGrid w:val="0"/>
      <w:jc w:val="left"/>
    </w:pPr>
    <w:rPr>
      <w:sz w:val="18"/>
      <w:szCs w:val="18"/>
    </w:rPr>
  </w:style>
  <w:style w:type="paragraph" w:styleId="5">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Body Text First Indent"/>
    <w:basedOn w:val="2"/>
    <w:link w:val="13"/>
    <w:qFormat/>
    <w:uiPriority w:val="0"/>
    <w:pPr>
      <w:spacing w:after="0" w:line="720" w:lineRule="auto"/>
      <w:ind w:left="-3" w:leftChars="-3" w:firstLine="420" w:firstLineChars="100"/>
      <w:jc w:val="center"/>
    </w:pPr>
    <w:rPr>
      <w:rFonts w:eastAsia="黑体"/>
      <w:kern w:val="0"/>
      <w:sz w:val="24"/>
      <w:szCs w:val="20"/>
    </w:rPr>
  </w:style>
  <w:style w:type="paragraph" w:styleId="7">
    <w:name w:val="Body Text First Indent 2"/>
    <w:basedOn w:val="3"/>
    <w:next w:val="6"/>
    <w:link w:val="11"/>
    <w:qFormat/>
    <w:uiPriority w:val="0"/>
    <w:pPr>
      <w:spacing w:after="0" w:line="720" w:lineRule="auto"/>
      <w:ind w:left="0" w:leftChars="0" w:hanging="7" w:hangingChars="2"/>
      <w:jc w:val="center"/>
    </w:pPr>
    <w:rPr>
      <w:rFonts w:ascii="宋体" w:hAnsi="宋体"/>
      <w:kern w:val="0"/>
      <w:sz w:val="24"/>
      <w:szCs w:val="20"/>
    </w:rPr>
  </w:style>
  <w:style w:type="character" w:customStyle="1" w:styleId="10">
    <w:name w:val="正文文本缩进 Char"/>
    <w:basedOn w:val="9"/>
    <w:link w:val="3"/>
    <w:semiHidden/>
    <w:qFormat/>
    <w:uiPriority w:val="99"/>
  </w:style>
  <w:style w:type="character" w:customStyle="1" w:styleId="11">
    <w:name w:val="正文首行缩进 2 Char"/>
    <w:basedOn w:val="10"/>
    <w:link w:val="7"/>
    <w:qFormat/>
    <w:uiPriority w:val="0"/>
    <w:rPr>
      <w:rFonts w:ascii="宋体" w:hAnsi="宋体"/>
      <w:kern w:val="0"/>
      <w:sz w:val="24"/>
      <w:szCs w:val="20"/>
    </w:rPr>
  </w:style>
  <w:style w:type="character" w:customStyle="1" w:styleId="12">
    <w:name w:val="正文文本 Char"/>
    <w:basedOn w:val="9"/>
    <w:link w:val="2"/>
    <w:semiHidden/>
    <w:qFormat/>
    <w:uiPriority w:val="99"/>
  </w:style>
  <w:style w:type="character" w:customStyle="1" w:styleId="13">
    <w:name w:val="正文首行缩进 Char"/>
    <w:basedOn w:val="12"/>
    <w:link w:val="6"/>
    <w:qFormat/>
    <w:uiPriority w:val="0"/>
    <w:rPr>
      <w:rFonts w:eastAsia="黑体"/>
      <w:kern w:val="0"/>
      <w:sz w:val="24"/>
      <w:szCs w:val="20"/>
    </w:rPr>
  </w:style>
  <w:style w:type="character" w:customStyle="1" w:styleId="14">
    <w:name w:val="页眉 Char"/>
    <w:basedOn w:val="9"/>
    <w:link w:val="5"/>
    <w:qFormat/>
    <w:uiPriority w:val="99"/>
    <w:rPr>
      <w:sz w:val="18"/>
      <w:szCs w:val="18"/>
    </w:rPr>
  </w:style>
  <w:style w:type="character" w:customStyle="1" w:styleId="15">
    <w:name w:val="页脚 Char"/>
    <w:basedOn w:val="9"/>
    <w:link w:val="4"/>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contractReview xmlns="http://schemas.wps.cn/vas-ai-hub/contract-review">
  <reviewItems>
    <reviewItem>
      <errorID>f5ea781f-7fac-47c1-b11e-49a43c17267e</errorID>
      <errorWord>签订之日起至</errorWord>
      <group>L1_Word</group>
      <groupName>字词问题</groupName>
      <ability>L2_Typo</ability>
      <abilityName>字词错误</abilityName>
      <candidateList>
        <item>签订之日起</item>
      </candidateList>
      <explain/>
      <paraID>4683451E</paraID>
      <start>7</start>
      <end>13</end>
      <status>ignored</status>
      <modifiedWord/>
      <trackRevisions>false</trackRevisions>
    </reviewItem>
    <reviewItem>
      <errorID>10eb4db0-b421-4f6a-aaa3-65497cf75fb8</errorID>
      <errorWord>污水处理站</errorWord>
      <group>L1_Other</group>
      <groupName>其他问题</groupName>
      <ability>L2_Consistency</ability>
      <abilityName>一致性检查</abilityName>
      <candidateList>
        <item>污水站</item>
      </candidateList>
      <explain>实体一致性，项目子项名称全文统一为污水站，此处表述不一致</explain>
      <paraID>70F190D2</paraID>
      <start>25</start>
      <end>28</end>
      <status>modified</status>
      <modifiedWord>污水站</modifiedWord>
      <trackRevisions>false</trackRevisions>
    </reviewItem>
    <reviewItem>
      <errorID>385b406b-ee94-49ee-8557-a12809743c07</errorID>
      <errorWord>，</errorWord>
      <group>L1_Word</group>
      <groupName>字词问题</groupName>
      <ability>L2_Typo</ability>
      <abilityName>字词错误</abilityName>
      <candidateList>
        <item>，具</item>
      </candidateList>
      <explain/>
      <paraID>397A2138</paraID>
      <start>21</start>
      <end>23</end>
      <status>modified</status>
      <modifiedWord>，具</modifiedWord>
      <trackRevisions>false</trackRevisions>
    </reviewItem>
    <reviewItem>
      <errorID>3689a38f-3262-4d16-aec8-7bbea2814d68</errorID>
      <errorWord>，</errorWord>
      <group>L1_Word</group>
      <groupName>字词问题</groupName>
      <ability>L2_Typo</ability>
      <abilityName>字词错误</abilityName>
      <candidateList>
        <item>，具</item>
      </candidateList>
      <explain/>
      <paraID>397A2138</paraID>
      <start>44</start>
      <end>46</end>
      <status>modified</status>
      <modifiedWord>，具</modifiedWord>
      <trackRevisions>false</trackRevisions>
    </reviewItem>
    <reviewItem>
      <errorID>1753ef7c-9702-4c71-af46-61c877c50e7f</errorID>
      <errorWord>“放坡+钢板桩”</errorWord>
      <group>L1_Other</group>
      <groupName>其他问题</groupName>
      <ability>L2_Consistency</ability>
      <abilityName>一致性检查</abilityName>
      <candidateList>
        <item>钢板桩+锚喷</item>
      </candidateList>
      <explain>术语一致性，原文前文明确基坑支护采用钢板桩+锚喷，此处支护形式表述不一致</explain>
      <paraID>79F7B66D</paraID>
      <start>19</start>
      <end>25</end>
      <status>modified</status>
      <modifiedWord>钢板桩+锚喷</modifiedWord>
      <trackRevisions>false</trackRevisions>
    </reviewItem>
    <reviewItem>
      <errorID>12fe9404-ff2a-4b2f-a2d8-42b30d9102fe</errorID>
      <errorWord>需具备</errorWord>
      <group>L1_Word</group>
      <groupName>字词问题</groupName>
      <ability>L2_Typo</ability>
      <abilityName>字词错误</abilityName>
      <candidateList>
        <item>须具备</item>
      </candidateList>
      <explain/>
      <paraID>4BEE30B9</paraID>
      <start>5</start>
      <end>8</end>
      <status>modified</status>
      <modifiedWord>须具备</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8169e5b-fe80-4ac6-b455-a86daf71a34f}">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1882</Words>
  <Characters>1936</Characters>
  <Lines>7</Lines>
  <Paragraphs>2</Paragraphs>
  <TotalTime>36</TotalTime>
  <ScaleCrop>false</ScaleCrop>
  <LinksUpToDate>false</LinksUpToDate>
  <CharactersWithSpaces>1936</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2023-10-26T03:12:00Z</dcterms:created>
  <dc:creator>xtsyy</dc:creator>
  <cp:lastModifiedBy>高莉</cp:lastModifiedBy>
  <cp:lastPrinted>2024-04-29T06:48:00Z</cp:lastPrinted>
  <dcterms:modified xsi:type="dcterms:W3CDTF">2026-10-21T05:44:56Z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ICV">
    <vt:lpwstr>79765E1BA3114140A4A00BAF9C00353E_13</vt:lpwstr>
  </property>
  <property fmtid="{D5CDD505-2E9C-101B-9397-08002B2CF9AE}" pid="4" name="KSOTemplateDocerSaveRecord">
    <vt:lpwstr>eyJoZGlkIjoiODk0ZDNkMzg5ZTFkNWEyZDhmYzEwMTkwM2M0YzA0YTkiLCJ1c2VySWQiOiI0MTY3ODkzMzAifQ==</vt:lpwstr>
  </property>
</Properties>
</file>